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EC096" w14:textId="77777777" w:rsidR="00BD63CA" w:rsidRDefault="00F53BEB">
      <w:pPr>
        <w:spacing w:after="0" w:line="240" w:lineRule="auto"/>
        <w:jc w:val="center"/>
        <w:rPr>
          <w:rFonts w:ascii="Quattrocento Sans" w:eastAsia="Quattrocento Sans" w:hAnsi="Quattrocento Sans" w:cs="Quattrocento Sans"/>
          <w:sz w:val="18"/>
          <w:szCs w:val="18"/>
        </w:rPr>
      </w:pPr>
      <w:r>
        <w:rPr>
          <w:noProof/>
          <w:color w:val="2B579A"/>
          <w:shd w:val="clear" w:color="auto" w:fill="E6E6E6"/>
        </w:rPr>
        <w:drawing>
          <wp:inline distT="0" distB="0" distL="0" distR="0" wp14:anchorId="5EFAC9D4" wp14:editId="561DA3DB">
            <wp:extent cx="5943600" cy="848995"/>
            <wp:effectExtent l="0" t="0" r="0" b="0"/>
            <wp:docPr id="3" name="Picture 3" descr="Graphical user interface, text,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text, application&#10;&#10;Description automatically generated with medium confidence"/>
                    <pic:cNvPicPr preferRelativeResize="0"/>
                  </pic:nvPicPr>
                  <pic:blipFill>
                    <a:blip r:embed="rId9"/>
                    <a:srcRect/>
                    <a:stretch>
                      <a:fillRect/>
                    </a:stretch>
                  </pic:blipFill>
                  <pic:spPr>
                    <a:xfrm>
                      <a:off x="0" y="0"/>
                      <a:ext cx="5943600" cy="848995"/>
                    </a:xfrm>
                    <a:prstGeom prst="rect">
                      <a:avLst/>
                    </a:prstGeom>
                    <a:ln/>
                  </pic:spPr>
                </pic:pic>
              </a:graphicData>
            </a:graphic>
          </wp:inline>
        </w:drawing>
      </w:r>
      <w:r>
        <w:rPr>
          <w:rFonts w:ascii="Arial" w:eastAsia="Arial" w:hAnsi="Arial" w:cs="Arial"/>
        </w:rPr>
        <w:t> </w:t>
      </w:r>
    </w:p>
    <w:p w14:paraId="06D6E4F0" w14:textId="77777777" w:rsidR="00594209" w:rsidRDefault="00594209">
      <w:pPr>
        <w:spacing w:after="0" w:line="240" w:lineRule="auto"/>
        <w:jc w:val="center"/>
        <w:rPr>
          <w:rFonts w:ascii="Arial" w:eastAsia="Arial" w:hAnsi="Arial" w:cs="Arial"/>
          <w:b/>
          <w:sz w:val="24"/>
          <w:szCs w:val="24"/>
        </w:rPr>
      </w:pPr>
      <w:r>
        <w:rPr>
          <w:rFonts w:ascii="Arial" w:eastAsia="Arial" w:hAnsi="Arial" w:cs="Arial"/>
          <w:b/>
          <w:sz w:val="24"/>
          <w:szCs w:val="24"/>
        </w:rPr>
        <w:t xml:space="preserve">Attachment F – Technical Proposal </w:t>
      </w:r>
    </w:p>
    <w:p w14:paraId="3D2F3C1E" w14:textId="63B73771" w:rsidR="00BD63CA" w:rsidRDefault="00F53BEB">
      <w:pPr>
        <w:spacing w:after="0" w:line="240" w:lineRule="auto"/>
        <w:jc w:val="center"/>
        <w:rPr>
          <w:rFonts w:ascii="Quattrocento Sans" w:eastAsia="Quattrocento Sans" w:hAnsi="Quattrocento Sans" w:cs="Quattrocento Sans"/>
          <w:sz w:val="18"/>
          <w:szCs w:val="18"/>
        </w:rPr>
      </w:pPr>
      <w:r>
        <w:rPr>
          <w:rFonts w:ascii="Arial" w:eastAsia="Arial" w:hAnsi="Arial" w:cs="Arial"/>
          <w:b/>
          <w:sz w:val="24"/>
          <w:szCs w:val="24"/>
        </w:rPr>
        <w:t xml:space="preserve">Literacy Endorsement </w:t>
      </w:r>
      <w:r w:rsidR="003B0D05">
        <w:rPr>
          <w:rFonts w:ascii="Arial" w:eastAsia="Arial" w:hAnsi="Arial" w:cs="Arial"/>
          <w:b/>
          <w:sz w:val="24"/>
          <w:szCs w:val="24"/>
        </w:rPr>
        <w:t xml:space="preserve">Training </w:t>
      </w:r>
      <w:r>
        <w:rPr>
          <w:rFonts w:ascii="Arial" w:eastAsia="Arial" w:hAnsi="Arial" w:cs="Arial"/>
          <w:b/>
          <w:sz w:val="24"/>
          <w:szCs w:val="24"/>
        </w:rPr>
        <w:t>Initial Response Request Form</w:t>
      </w:r>
      <w:r>
        <w:rPr>
          <w:rFonts w:ascii="Arial" w:eastAsia="Arial" w:hAnsi="Arial" w:cs="Arial"/>
          <w:sz w:val="24"/>
          <w:szCs w:val="24"/>
        </w:rPr>
        <w:t> </w:t>
      </w:r>
    </w:p>
    <w:p w14:paraId="58222E07" w14:textId="77777777" w:rsidR="00BD63CA" w:rsidRDefault="00F53BEB">
      <w:pPr>
        <w:spacing w:after="0" w:line="240" w:lineRule="auto"/>
        <w:rPr>
          <w:rFonts w:ascii="Quattrocento Sans" w:eastAsia="Quattrocento Sans" w:hAnsi="Quattrocento Sans" w:cs="Quattrocento Sans"/>
          <w:sz w:val="18"/>
          <w:szCs w:val="18"/>
        </w:rPr>
      </w:pPr>
      <w:r>
        <w:rPr>
          <w:rFonts w:ascii="Arial" w:eastAsia="Arial" w:hAnsi="Arial" w:cs="Arial"/>
          <w:sz w:val="24"/>
          <w:szCs w:val="24"/>
        </w:rPr>
        <w:t> </w:t>
      </w:r>
    </w:p>
    <w:p w14:paraId="41E138B6" w14:textId="737AC051" w:rsidR="00BD63CA" w:rsidRPr="001E628D" w:rsidRDefault="00F53BEB">
      <w:pPr>
        <w:spacing w:after="0" w:line="240" w:lineRule="auto"/>
        <w:rPr>
          <w:rFonts w:ascii="Arial" w:eastAsia="Quattrocento Sans" w:hAnsi="Arial" w:cs="Arial"/>
          <w:sz w:val="24"/>
          <w:szCs w:val="24"/>
        </w:rPr>
      </w:pPr>
      <w:r w:rsidRPr="001E628D">
        <w:rPr>
          <w:rFonts w:ascii="Arial" w:eastAsia="Arial" w:hAnsi="Arial" w:cs="Arial"/>
          <w:sz w:val="24"/>
          <w:szCs w:val="24"/>
        </w:rPr>
        <w:t>The Indiana Department of Education (IDOE) requests brief responses to each item below to confirm capability and intent of delivery of required services. Any deficiencies noted may eliminate Respondent</w:t>
      </w:r>
      <w:r w:rsidR="7C776D1B" w:rsidRPr="001E628D">
        <w:rPr>
          <w:rFonts w:ascii="Arial" w:eastAsia="Arial" w:hAnsi="Arial" w:cs="Arial"/>
          <w:sz w:val="24"/>
          <w:szCs w:val="24"/>
        </w:rPr>
        <w:t>s</w:t>
      </w:r>
      <w:r w:rsidRPr="001E628D">
        <w:rPr>
          <w:rFonts w:ascii="Arial" w:eastAsia="Arial" w:hAnsi="Arial" w:cs="Arial"/>
          <w:sz w:val="24"/>
          <w:szCs w:val="24"/>
        </w:rPr>
        <w:t xml:space="preserve"> from contracting with the state for this initiative. </w:t>
      </w:r>
      <w:r w:rsidRPr="001E628D">
        <w:rPr>
          <w:rFonts w:ascii="Arial" w:hAnsi="Arial" w:cs="Arial"/>
          <w:sz w:val="24"/>
          <w:szCs w:val="24"/>
        </w:rPr>
        <w:br/>
      </w:r>
      <w:r w:rsidRPr="001E628D">
        <w:rPr>
          <w:rFonts w:ascii="Arial" w:hAnsi="Arial" w:cs="Arial"/>
          <w:sz w:val="24"/>
          <w:szCs w:val="24"/>
        </w:rPr>
        <w:br/>
      </w:r>
      <w:r w:rsidRPr="001E628D">
        <w:rPr>
          <w:rFonts w:ascii="Arial" w:eastAsia="Arial" w:hAnsi="Arial" w:cs="Arial"/>
          <w:sz w:val="24"/>
          <w:szCs w:val="24"/>
          <w:u w:val="single"/>
        </w:rPr>
        <w:t>Pr</w:t>
      </w:r>
      <w:r w:rsidR="007430C1">
        <w:rPr>
          <w:rFonts w:ascii="Arial" w:eastAsia="Arial" w:hAnsi="Arial" w:cs="Arial"/>
          <w:sz w:val="24"/>
          <w:szCs w:val="24"/>
          <w:u w:val="single"/>
        </w:rPr>
        <w:t>evious Performance Issues</w:t>
      </w:r>
    </w:p>
    <w:p w14:paraId="3504A9C1" w14:textId="77777777" w:rsidR="00BD63CA" w:rsidRPr="001E628D" w:rsidRDefault="00BD63CA">
      <w:pPr>
        <w:spacing w:after="0" w:line="240" w:lineRule="auto"/>
        <w:rPr>
          <w:rFonts w:ascii="Arial" w:eastAsia="Quattrocento Sans" w:hAnsi="Arial" w:cs="Arial"/>
          <w:sz w:val="24"/>
          <w:szCs w:val="24"/>
        </w:rPr>
      </w:pPr>
    </w:p>
    <w:p w14:paraId="3CFD25B6" w14:textId="2A5555E7" w:rsidR="00BD63CA" w:rsidRPr="001E628D" w:rsidRDefault="00F53BEB" w:rsidP="5BF7A995">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sidRPr="3A8373E7">
        <w:rPr>
          <w:rFonts w:ascii="Arial" w:eastAsia="Arial" w:hAnsi="Arial" w:cs="Arial"/>
          <w:color w:val="000000" w:themeColor="text1"/>
          <w:sz w:val="24"/>
          <w:szCs w:val="24"/>
        </w:rPr>
        <w:t>The Respondent must provide documentation regarding any missed deadlines, litigation, penalties imposed due to missed deadlines or failure to perform, or breaches of contract resulting in compromises of any previous</w:t>
      </w:r>
      <w:r w:rsidR="6487D80C" w:rsidRPr="3A8373E7">
        <w:rPr>
          <w:rFonts w:ascii="Arial" w:eastAsia="Arial" w:hAnsi="Arial" w:cs="Arial"/>
          <w:color w:val="000000" w:themeColor="text1"/>
          <w:sz w:val="24"/>
          <w:szCs w:val="24"/>
        </w:rPr>
        <w:t>ly</w:t>
      </w:r>
      <w:r w:rsidRPr="3A8373E7">
        <w:rPr>
          <w:rFonts w:ascii="Arial" w:eastAsia="Arial" w:hAnsi="Arial" w:cs="Arial"/>
          <w:color w:val="000000" w:themeColor="text1"/>
          <w:sz w:val="24"/>
          <w:szCs w:val="24"/>
        </w:rPr>
        <w:t xml:space="preserve"> awarded contracts of a similar nature as part of the proposal. Any failure to disclose may result in elimination of consideration. </w:t>
      </w:r>
      <w:r w:rsidR="006C672E">
        <w:rPr>
          <w:rFonts w:ascii="Arial" w:eastAsia="Arial" w:hAnsi="Arial" w:cs="Arial"/>
          <w:color w:val="000000" w:themeColor="text1"/>
          <w:sz w:val="24"/>
          <w:szCs w:val="24"/>
        </w:rPr>
        <w:br/>
      </w:r>
    </w:p>
    <w:tbl>
      <w:tblPr>
        <w:tblStyle w:val="TableGrid"/>
        <w:tblW w:w="0" w:type="auto"/>
        <w:tblLayout w:type="fixed"/>
        <w:tblLook w:val="06A0" w:firstRow="1" w:lastRow="0" w:firstColumn="1" w:lastColumn="0" w:noHBand="1" w:noVBand="1"/>
      </w:tblPr>
      <w:tblGrid>
        <w:gridCol w:w="9360"/>
      </w:tblGrid>
      <w:tr w:rsidR="3A8373E7" w14:paraId="6B2CB3F8" w14:textId="77777777" w:rsidTr="3A8373E7">
        <w:trPr>
          <w:trHeight w:val="300"/>
        </w:trPr>
        <w:tc>
          <w:tcPr>
            <w:tcW w:w="9360" w:type="dxa"/>
            <w:shd w:val="clear" w:color="auto" w:fill="FFF2CC" w:themeFill="accent4" w:themeFillTint="33"/>
          </w:tcPr>
          <w:p w14:paraId="2723EDF9" w14:textId="12E13ABE" w:rsidR="3A8373E7" w:rsidRDefault="3A8373E7" w:rsidP="3A8373E7"/>
        </w:tc>
      </w:tr>
    </w:tbl>
    <w:p w14:paraId="3BE3C1EA" w14:textId="1D5C3678" w:rsidR="3A8373E7" w:rsidRDefault="3A8373E7" w:rsidP="3A8373E7">
      <w:pPr>
        <w:pBdr>
          <w:top w:val="nil"/>
          <w:left w:val="nil"/>
          <w:bottom w:val="nil"/>
          <w:right w:val="nil"/>
          <w:between w:val="nil"/>
        </w:pBdr>
        <w:spacing w:after="0" w:line="240" w:lineRule="auto"/>
        <w:rPr>
          <w:rFonts w:ascii="Arial" w:eastAsia="Arial" w:hAnsi="Arial" w:cs="Arial"/>
          <w:sz w:val="24"/>
          <w:szCs w:val="24"/>
          <w:u w:val="single"/>
        </w:rPr>
      </w:pPr>
    </w:p>
    <w:p w14:paraId="080C7AA2" w14:textId="30A7570A" w:rsidR="00BD63CA" w:rsidRPr="001E628D" w:rsidRDefault="071695E2" w:rsidP="5BF7A995">
      <w:pPr>
        <w:pBdr>
          <w:top w:val="nil"/>
          <w:left w:val="nil"/>
          <w:bottom w:val="nil"/>
          <w:right w:val="nil"/>
          <w:between w:val="nil"/>
        </w:pBdr>
        <w:spacing w:after="0" w:line="240" w:lineRule="auto"/>
        <w:rPr>
          <w:rFonts w:ascii="Arial" w:eastAsia="Quattrocento Sans" w:hAnsi="Arial" w:cs="Arial"/>
          <w:sz w:val="24"/>
          <w:szCs w:val="24"/>
        </w:rPr>
      </w:pPr>
      <w:r w:rsidRPr="5BF7A995">
        <w:rPr>
          <w:rFonts w:ascii="Arial" w:eastAsia="Arial" w:hAnsi="Arial" w:cs="Arial"/>
          <w:sz w:val="24"/>
          <w:szCs w:val="24"/>
          <w:u w:val="single"/>
        </w:rPr>
        <w:t>Project Management/Subcontractors</w:t>
      </w:r>
    </w:p>
    <w:p w14:paraId="36D07844" w14:textId="63CF8290" w:rsidR="00BD63CA" w:rsidRPr="001E628D" w:rsidRDefault="00BD63CA" w:rsidP="5BF7A995">
      <w:pPr>
        <w:pBdr>
          <w:top w:val="nil"/>
          <w:left w:val="nil"/>
          <w:bottom w:val="nil"/>
          <w:right w:val="nil"/>
          <w:between w:val="nil"/>
        </w:pBdr>
        <w:spacing w:after="0" w:line="240" w:lineRule="auto"/>
        <w:rPr>
          <w:rFonts w:ascii="Arial" w:eastAsia="Arial" w:hAnsi="Arial" w:cs="Arial"/>
          <w:sz w:val="24"/>
          <w:szCs w:val="24"/>
          <w:u w:val="single"/>
        </w:rPr>
      </w:pPr>
    </w:p>
    <w:p w14:paraId="3D8620F3" w14:textId="75F09A1E" w:rsidR="00BD63CA" w:rsidRPr="001E628D" w:rsidRDefault="071695E2" w:rsidP="3A8373E7">
      <w:pPr>
        <w:pStyle w:val="ListParagraph"/>
        <w:numPr>
          <w:ilvl w:val="0"/>
          <w:numId w:val="2"/>
        </w:numPr>
        <w:pBdr>
          <w:top w:val="nil"/>
          <w:left w:val="nil"/>
          <w:bottom w:val="nil"/>
          <w:right w:val="nil"/>
          <w:between w:val="nil"/>
        </w:pBdr>
        <w:spacing w:after="0" w:line="240" w:lineRule="auto"/>
        <w:rPr>
          <w:rFonts w:ascii="Arial" w:eastAsia="Arial" w:hAnsi="Arial" w:cs="Arial"/>
          <w:color w:val="000000" w:themeColor="text1"/>
          <w:sz w:val="24"/>
          <w:szCs w:val="24"/>
        </w:rPr>
      </w:pPr>
      <w:r w:rsidRPr="3A8373E7">
        <w:rPr>
          <w:rFonts w:ascii="Arial" w:eastAsia="Arial" w:hAnsi="Arial" w:cs="Arial"/>
          <w:color w:val="000000" w:themeColor="text1"/>
          <w:sz w:val="24"/>
          <w:szCs w:val="24"/>
        </w:rPr>
        <w:t xml:space="preserve">All subcontractors must be approved by </w:t>
      </w:r>
      <w:r w:rsidR="008702DA" w:rsidRPr="3A8373E7">
        <w:rPr>
          <w:rFonts w:ascii="Arial" w:eastAsia="Arial" w:hAnsi="Arial" w:cs="Arial"/>
          <w:color w:val="000000" w:themeColor="text1"/>
          <w:sz w:val="24"/>
          <w:szCs w:val="24"/>
        </w:rPr>
        <w:t xml:space="preserve">the </w:t>
      </w:r>
      <w:r w:rsidRPr="3A8373E7">
        <w:rPr>
          <w:rFonts w:ascii="Arial" w:eastAsia="Arial" w:hAnsi="Arial" w:cs="Arial"/>
          <w:color w:val="000000" w:themeColor="text1"/>
          <w:sz w:val="24"/>
          <w:szCs w:val="24"/>
        </w:rPr>
        <w:t xml:space="preserve">IDOE, including role and associated tasks. Respondent </w:t>
      </w:r>
      <w:r w:rsidR="3CC724B0" w:rsidRPr="3A8373E7">
        <w:rPr>
          <w:rFonts w:ascii="Arial" w:eastAsia="Arial" w:hAnsi="Arial" w:cs="Arial"/>
          <w:color w:val="000000" w:themeColor="text1"/>
          <w:sz w:val="24"/>
          <w:szCs w:val="24"/>
        </w:rPr>
        <w:t>must</w:t>
      </w:r>
      <w:r w:rsidRPr="3A8373E7">
        <w:rPr>
          <w:rFonts w:ascii="Arial" w:eastAsia="Arial" w:hAnsi="Arial" w:cs="Arial"/>
          <w:color w:val="000000" w:themeColor="text1"/>
          <w:sz w:val="24"/>
          <w:szCs w:val="24"/>
        </w:rPr>
        <w:t xml:space="preserve"> provide </w:t>
      </w:r>
      <w:r w:rsidR="008702DA" w:rsidRPr="3A8373E7">
        <w:rPr>
          <w:rFonts w:ascii="Arial" w:eastAsia="Arial" w:hAnsi="Arial" w:cs="Arial"/>
          <w:color w:val="000000" w:themeColor="text1"/>
          <w:sz w:val="24"/>
          <w:szCs w:val="24"/>
        </w:rPr>
        <w:t xml:space="preserve">the </w:t>
      </w:r>
      <w:proofErr w:type="gramStart"/>
      <w:r w:rsidRPr="3A8373E7">
        <w:rPr>
          <w:rFonts w:ascii="Arial" w:eastAsia="Arial" w:hAnsi="Arial" w:cs="Arial"/>
          <w:color w:val="000000" w:themeColor="text1"/>
          <w:sz w:val="24"/>
          <w:szCs w:val="24"/>
        </w:rPr>
        <w:t>IDOE</w:t>
      </w:r>
      <w:proofErr w:type="gramEnd"/>
      <w:r w:rsidRPr="3A8373E7">
        <w:rPr>
          <w:rFonts w:ascii="Arial" w:eastAsia="Arial" w:hAnsi="Arial" w:cs="Arial"/>
          <w:color w:val="000000" w:themeColor="text1"/>
          <w:sz w:val="24"/>
          <w:szCs w:val="24"/>
        </w:rPr>
        <w:t xml:space="preserve"> a list </w:t>
      </w:r>
      <w:r w:rsidR="0C9983C8" w:rsidRPr="3A8373E7">
        <w:rPr>
          <w:rFonts w:ascii="Arial" w:eastAsia="Arial" w:hAnsi="Arial" w:cs="Arial"/>
          <w:color w:val="000000" w:themeColor="text1"/>
          <w:sz w:val="24"/>
          <w:szCs w:val="24"/>
        </w:rPr>
        <w:t xml:space="preserve">of subcontractors </w:t>
      </w:r>
      <w:r w:rsidR="731A131F" w:rsidRPr="3A8373E7">
        <w:rPr>
          <w:rFonts w:ascii="Arial" w:eastAsia="Arial" w:hAnsi="Arial" w:cs="Arial"/>
          <w:color w:val="000000" w:themeColor="text1"/>
          <w:sz w:val="24"/>
          <w:szCs w:val="24"/>
        </w:rPr>
        <w:t>for review and approval</w:t>
      </w:r>
      <w:r w:rsidRPr="3A8373E7">
        <w:rPr>
          <w:rFonts w:ascii="Arial" w:eastAsia="Arial" w:hAnsi="Arial" w:cs="Arial"/>
          <w:color w:val="000000" w:themeColor="text1"/>
          <w:sz w:val="24"/>
          <w:szCs w:val="24"/>
        </w:rPr>
        <w:t xml:space="preserve">. </w:t>
      </w:r>
      <w:r w:rsidR="006C672E">
        <w:rPr>
          <w:rFonts w:ascii="Arial" w:eastAsia="Arial" w:hAnsi="Arial" w:cs="Arial"/>
          <w:color w:val="000000" w:themeColor="text1"/>
          <w:sz w:val="24"/>
          <w:szCs w:val="24"/>
        </w:rPr>
        <w:br/>
      </w:r>
    </w:p>
    <w:tbl>
      <w:tblPr>
        <w:tblStyle w:val="TableGrid"/>
        <w:tblW w:w="0" w:type="auto"/>
        <w:tblLayout w:type="fixed"/>
        <w:tblLook w:val="06A0" w:firstRow="1" w:lastRow="0" w:firstColumn="1" w:lastColumn="0" w:noHBand="1" w:noVBand="1"/>
      </w:tblPr>
      <w:tblGrid>
        <w:gridCol w:w="9360"/>
      </w:tblGrid>
      <w:tr w:rsidR="3A8373E7" w14:paraId="492B3126" w14:textId="77777777" w:rsidTr="3A8373E7">
        <w:trPr>
          <w:trHeight w:val="300"/>
        </w:trPr>
        <w:tc>
          <w:tcPr>
            <w:tcW w:w="9360" w:type="dxa"/>
            <w:shd w:val="clear" w:color="auto" w:fill="FFF2CC" w:themeFill="accent4" w:themeFillTint="33"/>
          </w:tcPr>
          <w:p w14:paraId="77C4ECBE" w14:textId="0C11BA66" w:rsidR="3A8373E7" w:rsidRDefault="3A8373E7" w:rsidP="3A8373E7"/>
        </w:tc>
      </w:tr>
    </w:tbl>
    <w:p w14:paraId="18546F8B" w14:textId="06B5FE6F" w:rsidR="3A8373E7" w:rsidRDefault="3A8373E7" w:rsidP="3A8373E7">
      <w:pPr>
        <w:spacing w:after="0" w:line="240" w:lineRule="auto"/>
        <w:rPr>
          <w:rFonts w:ascii="Arial" w:eastAsia="Arial" w:hAnsi="Arial" w:cs="Arial"/>
          <w:color w:val="000000" w:themeColor="text1"/>
          <w:sz w:val="24"/>
          <w:szCs w:val="24"/>
          <w:u w:val="single"/>
        </w:rPr>
      </w:pPr>
    </w:p>
    <w:p w14:paraId="0804F794" w14:textId="30F6ECA3" w:rsidR="00BD63CA" w:rsidRPr="001E628D" w:rsidRDefault="64EFE763" w:rsidP="5BF7A995">
      <w:pPr>
        <w:spacing w:after="0" w:line="240" w:lineRule="auto"/>
        <w:rPr>
          <w:rFonts w:ascii="Arial" w:eastAsia="Arial" w:hAnsi="Arial" w:cs="Arial"/>
          <w:color w:val="000000"/>
          <w:sz w:val="24"/>
          <w:szCs w:val="24"/>
        </w:rPr>
      </w:pPr>
      <w:r w:rsidRPr="5BF7A995">
        <w:rPr>
          <w:rFonts w:ascii="Arial" w:eastAsia="Arial" w:hAnsi="Arial" w:cs="Arial"/>
          <w:color w:val="000000" w:themeColor="text1"/>
          <w:sz w:val="24"/>
          <w:szCs w:val="24"/>
          <w:u w:val="single"/>
        </w:rPr>
        <w:t>Marketing and Communication</w:t>
      </w:r>
      <w:r w:rsidRPr="5BF7A995">
        <w:rPr>
          <w:rFonts w:ascii="Arial" w:eastAsia="Arial" w:hAnsi="Arial" w:cs="Arial"/>
          <w:color w:val="000000" w:themeColor="text1"/>
          <w:sz w:val="24"/>
          <w:szCs w:val="24"/>
        </w:rPr>
        <w:t> </w:t>
      </w:r>
      <w:r w:rsidR="00F53BEB">
        <w:br/>
      </w:r>
    </w:p>
    <w:p w14:paraId="320A9BD6" w14:textId="74EA3BFD" w:rsidR="00BD63CA" w:rsidRPr="001E628D" w:rsidRDefault="64EFE763" w:rsidP="3A8373E7">
      <w:pPr>
        <w:pStyle w:val="ListParagraph"/>
        <w:numPr>
          <w:ilvl w:val="0"/>
          <w:numId w:val="2"/>
        </w:numPr>
        <w:spacing w:after="0" w:line="240" w:lineRule="auto"/>
        <w:rPr>
          <w:rFonts w:ascii="Arial" w:eastAsia="Arial" w:hAnsi="Arial" w:cs="Arial"/>
          <w:color w:val="000000" w:themeColor="text1"/>
          <w:sz w:val="24"/>
          <w:szCs w:val="24"/>
        </w:rPr>
      </w:pPr>
      <w:r w:rsidRPr="3A8373E7">
        <w:rPr>
          <w:rFonts w:ascii="Arial" w:eastAsia="Arial" w:hAnsi="Arial" w:cs="Arial"/>
          <w:color w:val="000000" w:themeColor="text1"/>
          <w:sz w:val="24"/>
          <w:szCs w:val="24"/>
        </w:rPr>
        <w:t xml:space="preserve">The Respondent must </w:t>
      </w:r>
      <w:r w:rsidR="66A2A584" w:rsidRPr="3A8373E7">
        <w:rPr>
          <w:rFonts w:ascii="Arial" w:eastAsia="Arial" w:hAnsi="Arial" w:cs="Arial"/>
          <w:color w:val="000000" w:themeColor="text1"/>
          <w:sz w:val="24"/>
          <w:szCs w:val="24"/>
        </w:rPr>
        <w:t xml:space="preserve">describe how they will </w:t>
      </w:r>
      <w:r w:rsidRPr="3A8373E7">
        <w:rPr>
          <w:rFonts w:ascii="Arial" w:eastAsia="Arial" w:hAnsi="Arial" w:cs="Arial"/>
          <w:color w:val="000000" w:themeColor="text1"/>
          <w:sz w:val="24"/>
          <w:szCs w:val="24"/>
        </w:rPr>
        <w:t xml:space="preserve">deliver a marketing and communications plan for the IDOE to review and approve. A multifaceted approach in year one is desired to engage as many educators as possible to achieve the requirements as noted in </w:t>
      </w:r>
      <w:hyperlink r:id="rId10" w:anchor="20-28-5-19.7" w:tgtFrame="_blank" w:history="1">
        <w:r w:rsidR="003B0D05" w:rsidRPr="003B0D05">
          <w:rPr>
            <w:rStyle w:val="Hyperlink"/>
            <w:rFonts w:ascii="Arial" w:eastAsia="Arial" w:hAnsi="Arial" w:cs="Arial"/>
            <w:sz w:val="24"/>
            <w:szCs w:val="24"/>
          </w:rPr>
          <w:t>Indiana Code (IC) 20-28-5-19.7</w:t>
        </w:r>
      </w:hyperlink>
      <w:r w:rsidR="003B0D05">
        <w:rPr>
          <w:rFonts w:ascii="Arial" w:eastAsia="Arial" w:hAnsi="Arial" w:cs="Arial"/>
          <w:color w:val="000000" w:themeColor="text1"/>
          <w:sz w:val="24"/>
          <w:szCs w:val="24"/>
        </w:rPr>
        <w:t>.</w:t>
      </w:r>
      <w:r w:rsidR="006C672E">
        <w:rPr>
          <w:rFonts w:ascii="Arial" w:eastAsia="Arial" w:hAnsi="Arial" w:cs="Arial"/>
          <w:color w:val="000000" w:themeColor="text1"/>
          <w:sz w:val="24"/>
          <w:szCs w:val="24"/>
        </w:rPr>
        <w:br/>
      </w:r>
    </w:p>
    <w:tbl>
      <w:tblPr>
        <w:tblStyle w:val="TableGrid"/>
        <w:tblW w:w="0" w:type="auto"/>
        <w:tblLayout w:type="fixed"/>
        <w:tblLook w:val="06A0" w:firstRow="1" w:lastRow="0" w:firstColumn="1" w:lastColumn="0" w:noHBand="1" w:noVBand="1"/>
      </w:tblPr>
      <w:tblGrid>
        <w:gridCol w:w="9360"/>
      </w:tblGrid>
      <w:tr w:rsidR="3A8373E7" w14:paraId="1A8EC2E0" w14:textId="77777777" w:rsidTr="3A8373E7">
        <w:trPr>
          <w:trHeight w:val="300"/>
        </w:trPr>
        <w:tc>
          <w:tcPr>
            <w:tcW w:w="9360" w:type="dxa"/>
            <w:shd w:val="clear" w:color="auto" w:fill="FFF2CC" w:themeFill="accent4" w:themeFillTint="33"/>
          </w:tcPr>
          <w:p w14:paraId="25ED5F03" w14:textId="6E07B0C5" w:rsidR="3A8373E7" w:rsidRDefault="3A8373E7" w:rsidP="3A8373E7">
            <w:pPr>
              <w:rPr>
                <w:rFonts w:ascii="Arial" w:eastAsia="Arial" w:hAnsi="Arial" w:cs="Arial"/>
                <w:color w:val="000000" w:themeColor="text1"/>
                <w:sz w:val="24"/>
                <w:szCs w:val="24"/>
              </w:rPr>
            </w:pPr>
          </w:p>
        </w:tc>
      </w:tr>
    </w:tbl>
    <w:p w14:paraId="261E599C" w14:textId="01BF00B7" w:rsidR="3A8373E7" w:rsidRDefault="3A8373E7" w:rsidP="3A8373E7">
      <w:pPr>
        <w:spacing w:after="0" w:line="240" w:lineRule="auto"/>
        <w:rPr>
          <w:rFonts w:ascii="Arial" w:eastAsia="Arial" w:hAnsi="Arial" w:cs="Arial"/>
          <w:color w:val="000000" w:themeColor="text1"/>
          <w:sz w:val="24"/>
          <w:szCs w:val="24"/>
          <w:u w:val="single"/>
        </w:rPr>
      </w:pPr>
    </w:p>
    <w:p w14:paraId="5C092766" w14:textId="77777777" w:rsidR="00BD63CA" w:rsidRPr="001E628D" w:rsidRDefault="00F53BEB">
      <w:pPr>
        <w:spacing w:after="0" w:line="240" w:lineRule="auto"/>
        <w:rPr>
          <w:rFonts w:ascii="Arial" w:eastAsia="Arial" w:hAnsi="Arial" w:cs="Arial"/>
          <w:sz w:val="24"/>
          <w:szCs w:val="24"/>
          <w:u w:val="single"/>
        </w:rPr>
      </w:pPr>
      <w:r w:rsidRPr="001E628D">
        <w:rPr>
          <w:rFonts w:ascii="Arial" w:eastAsia="Arial" w:hAnsi="Arial" w:cs="Arial"/>
          <w:color w:val="000000"/>
          <w:sz w:val="24"/>
          <w:szCs w:val="24"/>
          <w:u w:val="single"/>
        </w:rPr>
        <w:t>Professional Development/Training</w:t>
      </w:r>
    </w:p>
    <w:p w14:paraId="18EFB4E6" w14:textId="23E62BDF" w:rsidR="00BD63CA" w:rsidRPr="001E628D" w:rsidRDefault="00BD63CA" w:rsidP="5B0B88CE">
      <w:pPr>
        <w:spacing w:after="0" w:line="240" w:lineRule="auto"/>
        <w:rPr>
          <w:rFonts w:ascii="Arial" w:eastAsia="Arial" w:hAnsi="Arial" w:cs="Arial"/>
          <w:sz w:val="24"/>
          <w:szCs w:val="24"/>
        </w:rPr>
      </w:pPr>
    </w:p>
    <w:p w14:paraId="3EFBA968" w14:textId="77777777" w:rsidR="00BD63CA" w:rsidRPr="001E628D" w:rsidRDefault="00F53BEB">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proofErr w:type="gramStart"/>
      <w:r w:rsidRPr="3A8373E7">
        <w:rPr>
          <w:rFonts w:ascii="Arial" w:eastAsia="Arial" w:hAnsi="Arial" w:cs="Arial"/>
          <w:color w:val="000000" w:themeColor="text1"/>
          <w:sz w:val="24"/>
          <w:szCs w:val="24"/>
        </w:rPr>
        <w:t>Respondent</w:t>
      </w:r>
      <w:proofErr w:type="gramEnd"/>
      <w:r w:rsidRPr="3A8373E7">
        <w:rPr>
          <w:rFonts w:ascii="Arial" w:eastAsia="Arial" w:hAnsi="Arial" w:cs="Arial"/>
          <w:color w:val="000000" w:themeColor="text1"/>
          <w:sz w:val="24"/>
          <w:szCs w:val="24"/>
        </w:rPr>
        <w:t xml:space="preserve"> should outline the process they will follow to</w:t>
      </w:r>
      <w:r w:rsidRPr="3A8373E7">
        <w:rPr>
          <w:rFonts w:ascii="Arial" w:hAnsi="Arial" w:cs="Arial"/>
          <w:sz w:val="24"/>
          <w:szCs w:val="24"/>
        </w:rPr>
        <w:t>:</w:t>
      </w:r>
      <w:r w:rsidRPr="3A8373E7">
        <w:rPr>
          <w:rFonts w:ascii="Arial" w:eastAsia="Arial" w:hAnsi="Arial" w:cs="Arial"/>
          <w:color w:val="000000" w:themeColor="text1"/>
          <w:sz w:val="24"/>
          <w:szCs w:val="24"/>
        </w:rPr>
        <w:t>  </w:t>
      </w:r>
    </w:p>
    <w:p w14:paraId="579ECA0E" w14:textId="52AE83C6" w:rsidR="00BD63CA" w:rsidRPr="001E628D" w:rsidRDefault="00F53BEB" w:rsidP="14FBAF7E">
      <w:pPr>
        <w:numPr>
          <w:ilvl w:val="1"/>
          <w:numId w:val="2"/>
        </w:numPr>
        <w:pBdr>
          <w:top w:val="nil"/>
          <w:left w:val="nil"/>
          <w:bottom w:val="nil"/>
          <w:right w:val="nil"/>
          <w:between w:val="nil"/>
        </w:pBdr>
        <w:spacing w:after="0" w:line="240" w:lineRule="auto"/>
        <w:rPr>
          <w:rFonts w:ascii="Arial" w:eastAsia="Arial" w:hAnsi="Arial" w:cs="Arial"/>
          <w:color w:val="000000"/>
          <w:sz w:val="24"/>
          <w:szCs w:val="24"/>
        </w:rPr>
      </w:pPr>
      <w:r w:rsidRPr="3A8373E7">
        <w:rPr>
          <w:rFonts w:ascii="Arial" w:eastAsia="Arial" w:hAnsi="Arial" w:cs="Arial"/>
          <w:color w:val="000000" w:themeColor="text1"/>
          <w:sz w:val="24"/>
          <w:szCs w:val="24"/>
        </w:rPr>
        <w:t xml:space="preserve">Verify successful completion of the training, as defined by the Respondent based on program-specific targets and expectations and passing of a written </w:t>
      </w:r>
      <w:r w:rsidRPr="3A8373E7">
        <w:rPr>
          <w:rFonts w:ascii="Arial" w:hAnsi="Arial" w:cs="Arial"/>
          <w:sz w:val="24"/>
          <w:szCs w:val="24"/>
        </w:rPr>
        <w:t>exam. </w:t>
      </w:r>
      <w:r w:rsidR="5A020AB6" w:rsidRPr="3A8373E7">
        <w:rPr>
          <w:rFonts w:ascii="Arial" w:eastAsia="Arial" w:hAnsi="Arial" w:cs="Arial"/>
          <w:color w:val="000000" w:themeColor="text1"/>
          <w:sz w:val="24"/>
          <w:szCs w:val="24"/>
        </w:rPr>
        <w:t xml:space="preserve"> </w:t>
      </w:r>
    </w:p>
    <w:p w14:paraId="655B8E21" w14:textId="5F1172DA" w:rsidR="00BD63CA" w:rsidRPr="001E628D" w:rsidRDefault="090D75AF" w:rsidP="14FBAF7E">
      <w:pPr>
        <w:numPr>
          <w:ilvl w:val="1"/>
          <w:numId w:val="2"/>
        </w:numPr>
        <w:pBdr>
          <w:top w:val="nil"/>
          <w:left w:val="nil"/>
          <w:bottom w:val="nil"/>
          <w:right w:val="nil"/>
          <w:between w:val="nil"/>
        </w:pBdr>
        <w:spacing w:after="0" w:line="240" w:lineRule="auto"/>
        <w:rPr>
          <w:rFonts w:ascii="Arial" w:eastAsia="Arial" w:hAnsi="Arial" w:cs="Arial"/>
          <w:color w:val="000000"/>
          <w:sz w:val="24"/>
          <w:szCs w:val="24"/>
        </w:rPr>
      </w:pPr>
      <w:r w:rsidRPr="3A8373E7">
        <w:rPr>
          <w:rFonts w:ascii="Arial" w:eastAsia="Arial" w:hAnsi="Arial" w:cs="Arial"/>
          <w:color w:val="000000" w:themeColor="text1"/>
          <w:sz w:val="24"/>
          <w:szCs w:val="24"/>
        </w:rPr>
        <w:lastRenderedPageBreak/>
        <w:t xml:space="preserve">Collect any </w:t>
      </w:r>
      <w:r w:rsidR="00F53BEB" w:rsidRPr="3A8373E7">
        <w:rPr>
          <w:rFonts w:ascii="Arial" w:eastAsia="Arial" w:hAnsi="Arial" w:cs="Arial"/>
          <w:color w:val="000000" w:themeColor="text1"/>
          <w:sz w:val="24"/>
          <w:szCs w:val="24"/>
        </w:rPr>
        <w:t>documentation from educators; and  </w:t>
      </w:r>
    </w:p>
    <w:p w14:paraId="28A297FE" w14:textId="73B95A98" w:rsidR="587871F4" w:rsidRDefault="00F53BEB" w:rsidP="3A8373E7">
      <w:pPr>
        <w:numPr>
          <w:ilvl w:val="1"/>
          <w:numId w:val="2"/>
        </w:numPr>
        <w:pBdr>
          <w:top w:val="nil"/>
          <w:left w:val="nil"/>
          <w:bottom w:val="nil"/>
          <w:right w:val="nil"/>
          <w:between w:val="nil"/>
        </w:pBdr>
        <w:spacing w:after="0" w:line="240" w:lineRule="auto"/>
        <w:rPr>
          <w:rFonts w:ascii="Arial" w:eastAsia="Arial" w:hAnsi="Arial" w:cs="Arial"/>
          <w:color w:val="000000" w:themeColor="text1"/>
          <w:sz w:val="24"/>
          <w:szCs w:val="24"/>
        </w:rPr>
      </w:pPr>
      <w:r w:rsidRPr="3A8373E7">
        <w:rPr>
          <w:rFonts w:ascii="Arial" w:eastAsia="Arial" w:hAnsi="Arial" w:cs="Arial"/>
          <w:color w:val="000000" w:themeColor="text1"/>
          <w:sz w:val="24"/>
          <w:szCs w:val="24"/>
        </w:rPr>
        <w:t xml:space="preserve">Respondent will also include </w:t>
      </w:r>
      <w:proofErr w:type="gramStart"/>
      <w:r w:rsidRPr="3A8373E7">
        <w:rPr>
          <w:rFonts w:ascii="Arial" w:eastAsia="Arial" w:hAnsi="Arial" w:cs="Arial"/>
          <w:color w:val="000000" w:themeColor="text1"/>
          <w:sz w:val="24"/>
          <w:szCs w:val="24"/>
        </w:rPr>
        <w:t>plan</w:t>
      </w:r>
      <w:proofErr w:type="gramEnd"/>
      <w:r w:rsidRPr="3A8373E7">
        <w:rPr>
          <w:rFonts w:ascii="Arial" w:eastAsia="Arial" w:hAnsi="Arial" w:cs="Arial"/>
          <w:color w:val="000000" w:themeColor="text1"/>
          <w:sz w:val="24"/>
          <w:szCs w:val="24"/>
        </w:rPr>
        <w:t xml:space="preserve"> to communicate enrolled, dropped, and fully trained educators with </w:t>
      </w:r>
      <w:r w:rsidR="00CA66DE" w:rsidRPr="3A8373E7">
        <w:rPr>
          <w:rFonts w:ascii="Arial" w:eastAsia="Arial" w:hAnsi="Arial" w:cs="Arial"/>
          <w:color w:val="000000" w:themeColor="text1"/>
          <w:sz w:val="24"/>
          <w:szCs w:val="24"/>
        </w:rPr>
        <w:t xml:space="preserve">the </w:t>
      </w:r>
      <w:r w:rsidRPr="3A8373E7">
        <w:rPr>
          <w:rFonts w:ascii="Arial" w:eastAsia="Arial" w:hAnsi="Arial" w:cs="Arial"/>
          <w:color w:val="000000" w:themeColor="text1"/>
          <w:sz w:val="24"/>
          <w:szCs w:val="24"/>
        </w:rPr>
        <w:t>IDOE and other winning Respondents.  </w:t>
      </w:r>
      <w:r w:rsidR="006C672E">
        <w:rPr>
          <w:rFonts w:ascii="Arial" w:eastAsia="Arial" w:hAnsi="Arial" w:cs="Arial"/>
          <w:color w:val="000000" w:themeColor="text1"/>
          <w:sz w:val="24"/>
          <w:szCs w:val="24"/>
        </w:rPr>
        <w:br/>
      </w:r>
    </w:p>
    <w:tbl>
      <w:tblPr>
        <w:tblStyle w:val="TableGrid"/>
        <w:tblW w:w="0" w:type="auto"/>
        <w:tblLayout w:type="fixed"/>
        <w:tblLook w:val="06A0" w:firstRow="1" w:lastRow="0" w:firstColumn="1" w:lastColumn="0" w:noHBand="1" w:noVBand="1"/>
      </w:tblPr>
      <w:tblGrid>
        <w:gridCol w:w="9360"/>
      </w:tblGrid>
      <w:tr w:rsidR="3A8373E7" w14:paraId="7CDB2A72" w14:textId="77777777" w:rsidTr="3A8373E7">
        <w:trPr>
          <w:trHeight w:val="300"/>
        </w:trPr>
        <w:tc>
          <w:tcPr>
            <w:tcW w:w="9360" w:type="dxa"/>
            <w:shd w:val="clear" w:color="auto" w:fill="FFF2CC" w:themeFill="accent4" w:themeFillTint="33"/>
          </w:tcPr>
          <w:p w14:paraId="2F63F3DF" w14:textId="38453CD8" w:rsidR="3A8373E7" w:rsidRDefault="3A8373E7" w:rsidP="3A8373E7">
            <w:pPr>
              <w:rPr>
                <w:rFonts w:ascii="Arial" w:eastAsia="Quattrocento Sans" w:hAnsi="Arial" w:cs="Arial"/>
                <w:sz w:val="24"/>
                <w:szCs w:val="24"/>
              </w:rPr>
            </w:pPr>
          </w:p>
        </w:tc>
      </w:tr>
    </w:tbl>
    <w:p w14:paraId="5BEC49A8" w14:textId="2DA9B03B" w:rsidR="3A8373E7" w:rsidRDefault="3A8373E7" w:rsidP="3A8373E7">
      <w:pPr>
        <w:pBdr>
          <w:top w:val="nil"/>
          <w:left w:val="nil"/>
          <w:bottom w:val="nil"/>
          <w:right w:val="nil"/>
          <w:between w:val="nil"/>
        </w:pBdr>
        <w:spacing w:after="0" w:line="240" w:lineRule="auto"/>
      </w:pPr>
    </w:p>
    <w:p w14:paraId="1B1ABF49" w14:textId="28D565A4" w:rsidR="00F53BEB" w:rsidRDefault="00F53BEB" w:rsidP="3A8373E7">
      <w:pPr>
        <w:numPr>
          <w:ilvl w:val="0"/>
          <w:numId w:val="2"/>
        </w:numPr>
        <w:spacing w:after="0" w:line="240" w:lineRule="auto"/>
        <w:rPr>
          <w:rFonts w:ascii="Arial" w:eastAsia="Arial" w:hAnsi="Arial" w:cs="Arial"/>
          <w:color w:val="000000" w:themeColor="text1"/>
          <w:sz w:val="24"/>
          <w:szCs w:val="24"/>
        </w:rPr>
      </w:pPr>
      <w:r w:rsidRPr="3A8373E7">
        <w:rPr>
          <w:rFonts w:ascii="Arial" w:eastAsia="Arial" w:hAnsi="Arial" w:cs="Arial"/>
          <w:color w:val="000000" w:themeColor="text1"/>
          <w:sz w:val="24"/>
          <w:szCs w:val="24"/>
        </w:rPr>
        <w:t xml:space="preserve">Define the Respondent’s capacity to offer live and online training sessions, and provide details related to logistics and site planning. The Respondent </w:t>
      </w:r>
      <w:r w:rsidR="48E43964" w:rsidRPr="3A8373E7">
        <w:rPr>
          <w:rFonts w:ascii="Arial" w:eastAsia="Arial" w:hAnsi="Arial" w:cs="Arial"/>
          <w:color w:val="000000" w:themeColor="text1"/>
          <w:sz w:val="24"/>
          <w:szCs w:val="24"/>
        </w:rPr>
        <w:t xml:space="preserve">must </w:t>
      </w:r>
      <w:r w:rsidRPr="3A8373E7">
        <w:rPr>
          <w:rFonts w:ascii="Arial" w:eastAsia="Arial" w:hAnsi="Arial" w:cs="Arial"/>
          <w:color w:val="000000" w:themeColor="text1"/>
          <w:sz w:val="24"/>
          <w:szCs w:val="24"/>
        </w:rPr>
        <w:t>provide proof of requirements to become a certified trainer for their program and documentation that facilitators have met those requirements upon contract completion.</w:t>
      </w:r>
      <w:r w:rsidR="006C672E">
        <w:rPr>
          <w:rFonts w:ascii="Arial" w:eastAsia="Arial" w:hAnsi="Arial" w:cs="Arial"/>
          <w:color w:val="000000" w:themeColor="text1"/>
          <w:sz w:val="24"/>
          <w:szCs w:val="24"/>
        </w:rPr>
        <w:br/>
      </w:r>
      <w:r w:rsidRPr="3A8373E7">
        <w:rPr>
          <w:rFonts w:ascii="Arial" w:eastAsia="Arial" w:hAnsi="Arial" w:cs="Arial"/>
          <w:color w:val="000000" w:themeColor="text1"/>
          <w:sz w:val="24"/>
          <w:szCs w:val="24"/>
        </w:rPr>
        <w:t xml:space="preserve"> </w:t>
      </w:r>
    </w:p>
    <w:tbl>
      <w:tblPr>
        <w:tblStyle w:val="TableGrid"/>
        <w:tblW w:w="0" w:type="auto"/>
        <w:tblLayout w:type="fixed"/>
        <w:tblLook w:val="06A0" w:firstRow="1" w:lastRow="0" w:firstColumn="1" w:lastColumn="0" w:noHBand="1" w:noVBand="1"/>
      </w:tblPr>
      <w:tblGrid>
        <w:gridCol w:w="9360"/>
      </w:tblGrid>
      <w:tr w:rsidR="3A8373E7" w14:paraId="292CDE15" w14:textId="77777777" w:rsidTr="3A8373E7">
        <w:trPr>
          <w:trHeight w:val="300"/>
        </w:trPr>
        <w:tc>
          <w:tcPr>
            <w:tcW w:w="9360" w:type="dxa"/>
            <w:shd w:val="clear" w:color="auto" w:fill="FFF2CC" w:themeFill="accent4" w:themeFillTint="33"/>
          </w:tcPr>
          <w:p w14:paraId="5C9911BD" w14:textId="5217744F" w:rsidR="3A8373E7" w:rsidRDefault="3A8373E7" w:rsidP="3A8373E7">
            <w:pPr>
              <w:rPr>
                <w:rFonts w:ascii="Arial" w:eastAsia="Arial" w:hAnsi="Arial" w:cs="Arial"/>
                <w:color w:val="000000" w:themeColor="text1"/>
                <w:sz w:val="24"/>
                <w:szCs w:val="24"/>
              </w:rPr>
            </w:pPr>
          </w:p>
        </w:tc>
      </w:tr>
    </w:tbl>
    <w:p w14:paraId="643A343A" w14:textId="36BCCEC0" w:rsidR="3A8373E7" w:rsidRDefault="3A8373E7" w:rsidP="3A8373E7">
      <w:pPr>
        <w:pBdr>
          <w:top w:val="nil"/>
          <w:left w:val="nil"/>
          <w:bottom w:val="nil"/>
          <w:right w:val="nil"/>
          <w:between w:val="nil"/>
        </w:pBdr>
        <w:spacing w:after="0" w:line="240" w:lineRule="auto"/>
        <w:rPr>
          <w:rFonts w:ascii="Arial" w:eastAsia="Arial" w:hAnsi="Arial" w:cs="Arial"/>
          <w:color w:val="000000" w:themeColor="text1"/>
          <w:sz w:val="24"/>
          <w:szCs w:val="24"/>
        </w:rPr>
      </w:pPr>
    </w:p>
    <w:p w14:paraId="25628BB6" w14:textId="1DA91820" w:rsidR="00BD63CA" w:rsidRPr="009E493C" w:rsidRDefault="00F53BEB" w:rsidP="3A8373E7">
      <w:pPr>
        <w:numPr>
          <w:ilvl w:val="0"/>
          <w:numId w:val="2"/>
        </w:numPr>
        <w:pBdr>
          <w:top w:val="nil"/>
          <w:left w:val="nil"/>
          <w:bottom w:val="nil"/>
          <w:right w:val="nil"/>
          <w:between w:val="nil"/>
        </w:pBdr>
        <w:spacing w:after="0" w:line="240" w:lineRule="auto"/>
        <w:rPr>
          <w:rFonts w:ascii="Arial" w:eastAsia="Arial" w:hAnsi="Arial" w:cs="Arial"/>
          <w:color w:val="000000" w:themeColor="text1"/>
          <w:sz w:val="24"/>
          <w:szCs w:val="24"/>
        </w:rPr>
      </w:pPr>
      <w:r w:rsidRPr="3A8373E7">
        <w:rPr>
          <w:rFonts w:ascii="Arial" w:eastAsia="Arial" w:hAnsi="Arial" w:cs="Arial"/>
          <w:color w:val="000000" w:themeColor="text1"/>
          <w:sz w:val="24"/>
          <w:szCs w:val="24"/>
        </w:rPr>
        <w:t xml:space="preserve">The Respondent must </w:t>
      </w:r>
      <w:r w:rsidR="006065CA" w:rsidRPr="3A8373E7">
        <w:rPr>
          <w:rFonts w:ascii="Arial" w:eastAsia="Arial" w:hAnsi="Arial" w:cs="Arial"/>
          <w:color w:val="000000" w:themeColor="text1"/>
          <w:sz w:val="24"/>
          <w:szCs w:val="24"/>
        </w:rPr>
        <w:t>provide</w:t>
      </w:r>
      <w:r w:rsidRPr="3A8373E7">
        <w:rPr>
          <w:rFonts w:ascii="Arial" w:eastAsia="Arial" w:hAnsi="Arial" w:cs="Arial"/>
          <w:color w:val="000000" w:themeColor="text1"/>
          <w:sz w:val="24"/>
          <w:szCs w:val="24"/>
        </w:rPr>
        <w:t xml:space="preserve"> a clear plan for </w:t>
      </w:r>
      <w:r w:rsidR="5C84599E" w:rsidRPr="3A8373E7">
        <w:rPr>
          <w:rFonts w:ascii="Arial" w:eastAsia="Arial" w:hAnsi="Arial" w:cs="Arial"/>
          <w:color w:val="000000" w:themeColor="text1"/>
          <w:sz w:val="24"/>
          <w:szCs w:val="24"/>
        </w:rPr>
        <w:t>asynchronous instruction</w:t>
      </w:r>
      <w:r w:rsidRPr="3A8373E7">
        <w:rPr>
          <w:rFonts w:ascii="Arial" w:eastAsia="Arial" w:hAnsi="Arial" w:cs="Arial"/>
          <w:color w:val="000000" w:themeColor="text1"/>
          <w:sz w:val="24"/>
          <w:szCs w:val="24"/>
        </w:rPr>
        <w:t xml:space="preserve">. </w:t>
      </w:r>
      <w:r w:rsidR="25A9FE9E" w:rsidRPr="3A8373E7">
        <w:rPr>
          <w:rFonts w:ascii="Arial" w:eastAsia="Arial" w:hAnsi="Arial" w:cs="Arial"/>
          <w:color w:val="000000" w:themeColor="text1"/>
          <w:sz w:val="24"/>
          <w:szCs w:val="24"/>
        </w:rPr>
        <w:t xml:space="preserve">The plan </w:t>
      </w:r>
      <w:r w:rsidR="00E2FD02" w:rsidRPr="3A8373E7">
        <w:rPr>
          <w:rFonts w:ascii="Arial" w:eastAsia="Arial" w:hAnsi="Arial" w:cs="Arial"/>
          <w:color w:val="000000" w:themeColor="text1"/>
          <w:sz w:val="24"/>
          <w:szCs w:val="24"/>
        </w:rPr>
        <w:t xml:space="preserve">must </w:t>
      </w:r>
      <w:r w:rsidR="25A9FE9E" w:rsidRPr="3A8373E7">
        <w:rPr>
          <w:rFonts w:ascii="Arial" w:eastAsia="Arial" w:hAnsi="Arial" w:cs="Arial"/>
          <w:color w:val="000000" w:themeColor="text1"/>
          <w:sz w:val="24"/>
          <w:szCs w:val="24"/>
        </w:rPr>
        <w:t>include the</w:t>
      </w:r>
      <w:r w:rsidRPr="3A8373E7">
        <w:rPr>
          <w:rFonts w:ascii="Arial" w:eastAsia="Arial" w:hAnsi="Arial" w:cs="Arial"/>
          <w:color w:val="000000" w:themeColor="text1"/>
          <w:sz w:val="24"/>
          <w:szCs w:val="24"/>
        </w:rPr>
        <w:t xml:space="preserve"> development and delivery of all professional development</w:t>
      </w:r>
      <w:r w:rsidR="1FC79A5C" w:rsidRPr="3A8373E7">
        <w:rPr>
          <w:rFonts w:ascii="Arial" w:eastAsia="Arial" w:hAnsi="Arial" w:cs="Arial"/>
          <w:color w:val="000000" w:themeColor="text1"/>
          <w:sz w:val="24"/>
          <w:szCs w:val="24"/>
        </w:rPr>
        <w:t>, including ti</w:t>
      </w:r>
      <w:r w:rsidR="4BBCEE83" w:rsidRPr="3A8373E7">
        <w:rPr>
          <w:rFonts w:ascii="Arial" w:eastAsia="Arial" w:hAnsi="Arial" w:cs="Arial"/>
          <w:color w:val="000000" w:themeColor="text1"/>
          <w:sz w:val="24"/>
          <w:szCs w:val="24"/>
        </w:rPr>
        <w:t xml:space="preserve">melines, </w:t>
      </w:r>
      <w:r w:rsidR="1FC79A5C" w:rsidRPr="3A8373E7">
        <w:rPr>
          <w:rFonts w:ascii="Arial" w:eastAsia="Arial" w:hAnsi="Arial" w:cs="Arial"/>
          <w:color w:val="000000" w:themeColor="text1"/>
          <w:sz w:val="24"/>
          <w:szCs w:val="24"/>
        </w:rPr>
        <w:t>use of interactive content</w:t>
      </w:r>
      <w:r w:rsidR="2B0F611C" w:rsidRPr="3A8373E7">
        <w:rPr>
          <w:rFonts w:ascii="Arial" w:eastAsia="Arial" w:hAnsi="Arial" w:cs="Arial"/>
          <w:color w:val="000000" w:themeColor="text1"/>
          <w:sz w:val="24"/>
          <w:szCs w:val="24"/>
        </w:rPr>
        <w:t>,</w:t>
      </w:r>
      <w:r w:rsidR="1FC79A5C" w:rsidRPr="3A8373E7">
        <w:rPr>
          <w:rFonts w:ascii="Arial" w:eastAsia="Arial" w:hAnsi="Arial" w:cs="Arial"/>
          <w:color w:val="000000" w:themeColor="text1"/>
          <w:sz w:val="24"/>
          <w:szCs w:val="24"/>
        </w:rPr>
        <w:t xml:space="preserve"> and assessment of participant knowledge and/or check for understanding</w:t>
      </w:r>
      <w:r w:rsidRPr="3A8373E7">
        <w:rPr>
          <w:rFonts w:ascii="Arial" w:eastAsia="Arial" w:hAnsi="Arial" w:cs="Arial"/>
          <w:color w:val="000000" w:themeColor="text1"/>
          <w:sz w:val="24"/>
          <w:szCs w:val="24"/>
        </w:rPr>
        <w:t xml:space="preserve">. </w:t>
      </w:r>
      <w:r w:rsidR="0074751C" w:rsidRPr="3A8373E7">
        <w:rPr>
          <w:rFonts w:ascii="Arial" w:eastAsia="Arial" w:hAnsi="Arial" w:cs="Arial"/>
          <w:color w:val="000000" w:themeColor="text1"/>
          <w:sz w:val="24"/>
          <w:szCs w:val="24"/>
        </w:rPr>
        <w:t>The</w:t>
      </w:r>
      <w:r w:rsidRPr="3A8373E7">
        <w:rPr>
          <w:rFonts w:ascii="Arial" w:eastAsia="Arial" w:hAnsi="Arial" w:cs="Arial"/>
          <w:color w:val="000000" w:themeColor="text1"/>
          <w:sz w:val="24"/>
          <w:szCs w:val="24"/>
        </w:rPr>
        <w:t xml:space="preserve"> IDOE must approve any materials developed prior to delivery.</w:t>
      </w:r>
      <w:r w:rsidR="7ADB6451" w:rsidRPr="3A8373E7">
        <w:rPr>
          <w:rFonts w:ascii="Arial" w:eastAsia="Arial" w:hAnsi="Arial" w:cs="Arial"/>
          <w:color w:val="000000" w:themeColor="text1"/>
          <w:sz w:val="24"/>
          <w:szCs w:val="24"/>
        </w:rPr>
        <w:t xml:space="preserve">  There </w:t>
      </w:r>
      <w:proofErr w:type="gramStart"/>
      <w:r w:rsidR="7ADB6451" w:rsidRPr="3A8373E7">
        <w:rPr>
          <w:rFonts w:ascii="Arial" w:eastAsia="Arial" w:hAnsi="Arial" w:cs="Arial"/>
          <w:color w:val="000000" w:themeColor="text1"/>
          <w:sz w:val="24"/>
          <w:szCs w:val="24"/>
        </w:rPr>
        <w:t>are</w:t>
      </w:r>
      <w:proofErr w:type="gramEnd"/>
      <w:r w:rsidR="7ADB6451" w:rsidRPr="3A8373E7">
        <w:rPr>
          <w:rFonts w:ascii="Arial" w:eastAsia="Arial" w:hAnsi="Arial" w:cs="Arial"/>
          <w:color w:val="000000" w:themeColor="text1"/>
          <w:sz w:val="24"/>
          <w:szCs w:val="24"/>
        </w:rPr>
        <w:t xml:space="preserve"> a minimum of three review rounds before materials are conside</w:t>
      </w:r>
      <w:r w:rsidR="6178ADA4" w:rsidRPr="3A8373E7">
        <w:rPr>
          <w:rFonts w:ascii="Arial" w:eastAsia="Arial" w:hAnsi="Arial" w:cs="Arial"/>
          <w:color w:val="000000" w:themeColor="text1"/>
          <w:sz w:val="24"/>
          <w:szCs w:val="24"/>
        </w:rPr>
        <w:t xml:space="preserve">red final. </w:t>
      </w:r>
      <w:proofErr w:type="gramStart"/>
      <w:r w:rsidR="6178ADA4" w:rsidRPr="3A8373E7">
        <w:rPr>
          <w:rFonts w:ascii="Arial" w:eastAsia="Arial" w:hAnsi="Arial" w:cs="Arial"/>
          <w:color w:val="000000" w:themeColor="text1"/>
          <w:sz w:val="24"/>
          <w:szCs w:val="24"/>
        </w:rPr>
        <w:t>Respondent</w:t>
      </w:r>
      <w:proofErr w:type="gramEnd"/>
      <w:r w:rsidR="6178ADA4" w:rsidRPr="3A8373E7">
        <w:rPr>
          <w:rFonts w:ascii="Arial" w:eastAsia="Arial" w:hAnsi="Arial" w:cs="Arial"/>
          <w:color w:val="000000" w:themeColor="text1"/>
          <w:sz w:val="24"/>
          <w:szCs w:val="24"/>
        </w:rPr>
        <w:t xml:space="preserve"> must plan to have</w:t>
      </w:r>
      <w:r w:rsidRPr="3A8373E7">
        <w:rPr>
          <w:rFonts w:ascii="Arial" w:eastAsia="Arial" w:hAnsi="Arial" w:cs="Arial"/>
          <w:color w:val="000000" w:themeColor="text1"/>
          <w:sz w:val="24"/>
          <w:szCs w:val="24"/>
        </w:rPr>
        <w:t xml:space="preserve"> </w:t>
      </w:r>
      <w:r w:rsidR="692982CF" w:rsidRPr="3A8373E7">
        <w:rPr>
          <w:rFonts w:ascii="Arial" w:eastAsia="Arial" w:hAnsi="Arial" w:cs="Arial"/>
          <w:color w:val="000000" w:themeColor="text1"/>
          <w:sz w:val="24"/>
          <w:szCs w:val="24"/>
        </w:rPr>
        <w:t>f</w:t>
      </w:r>
      <w:r w:rsidR="274D597B" w:rsidRPr="3A8373E7">
        <w:rPr>
          <w:rFonts w:ascii="Arial" w:eastAsia="Arial" w:hAnsi="Arial" w:cs="Arial"/>
          <w:color w:val="000000" w:themeColor="text1"/>
          <w:sz w:val="24"/>
          <w:szCs w:val="24"/>
        </w:rPr>
        <w:t xml:space="preserve">inal materials for all training sessions </w:t>
      </w:r>
      <w:r w:rsidR="47BFE00F" w:rsidRPr="3A8373E7">
        <w:rPr>
          <w:rFonts w:ascii="Arial" w:eastAsia="Arial" w:hAnsi="Arial" w:cs="Arial"/>
          <w:color w:val="000000" w:themeColor="text1"/>
          <w:sz w:val="24"/>
          <w:szCs w:val="24"/>
        </w:rPr>
        <w:t>approved by</w:t>
      </w:r>
      <w:r w:rsidR="274D597B" w:rsidRPr="3A8373E7">
        <w:rPr>
          <w:rFonts w:ascii="Arial" w:eastAsia="Arial" w:hAnsi="Arial" w:cs="Arial"/>
          <w:color w:val="000000" w:themeColor="text1"/>
          <w:sz w:val="24"/>
          <w:szCs w:val="24"/>
        </w:rPr>
        <w:t xml:space="preserve"> the IDOE no later than two weeks prior to the training</w:t>
      </w:r>
      <w:r w:rsidR="274D597B" w:rsidRPr="3A8373E7">
        <w:rPr>
          <w:rFonts w:ascii="Arial" w:hAnsi="Arial" w:cs="Arial"/>
          <w:color w:val="000000" w:themeColor="text1"/>
          <w:sz w:val="24"/>
          <w:szCs w:val="24"/>
        </w:rPr>
        <w:t xml:space="preserve"> </w:t>
      </w:r>
      <w:r w:rsidR="274D597B" w:rsidRPr="3A8373E7">
        <w:rPr>
          <w:rFonts w:ascii="Arial" w:eastAsia="Arial" w:hAnsi="Arial" w:cs="Arial"/>
          <w:color w:val="000000" w:themeColor="text1"/>
          <w:sz w:val="24"/>
          <w:szCs w:val="24"/>
        </w:rPr>
        <w:t xml:space="preserve">session. </w:t>
      </w:r>
      <w:r w:rsidRPr="3A8373E7">
        <w:rPr>
          <w:rFonts w:ascii="Arial" w:eastAsia="Arial" w:hAnsi="Arial" w:cs="Arial"/>
          <w:color w:val="000000" w:themeColor="text1"/>
          <w:sz w:val="24"/>
          <w:szCs w:val="24"/>
        </w:rPr>
        <w:t>The Respondent is assumed to represent</w:t>
      </w:r>
      <w:r w:rsidR="0074751C" w:rsidRPr="3A8373E7">
        <w:rPr>
          <w:rFonts w:ascii="Arial" w:eastAsia="Arial" w:hAnsi="Arial" w:cs="Arial"/>
          <w:color w:val="000000" w:themeColor="text1"/>
          <w:sz w:val="24"/>
          <w:szCs w:val="24"/>
        </w:rPr>
        <w:t xml:space="preserve"> the</w:t>
      </w:r>
      <w:r w:rsidRPr="3A8373E7">
        <w:rPr>
          <w:rFonts w:ascii="Arial" w:eastAsia="Arial" w:hAnsi="Arial" w:cs="Arial"/>
          <w:color w:val="000000" w:themeColor="text1"/>
          <w:sz w:val="24"/>
          <w:szCs w:val="24"/>
        </w:rPr>
        <w:t xml:space="preserve"> IDOE’s initiatives with fidelity; therefore, quality deliverables and timely delivery are expected. The IDOE will not pay for travel or logistics costs as part of this agreement for any attendee.  </w:t>
      </w:r>
      <w:r w:rsidR="006C672E">
        <w:rPr>
          <w:rFonts w:ascii="Arial" w:eastAsia="Arial" w:hAnsi="Arial" w:cs="Arial"/>
          <w:color w:val="000000" w:themeColor="text1"/>
          <w:sz w:val="24"/>
          <w:szCs w:val="24"/>
        </w:rPr>
        <w:br/>
      </w:r>
    </w:p>
    <w:tbl>
      <w:tblPr>
        <w:tblStyle w:val="TableGrid"/>
        <w:tblW w:w="0" w:type="auto"/>
        <w:tblLayout w:type="fixed"/>
        <w:tblLook w:val="06A0" w:firstRow="1" w:lastRow="0" w:firstColumn="1" w:lastColumn="0" w:noHBand="1" w:noVBand="1"/>
      </w:tblPr>
      <w:tblGrid>
        <w:gridCol w:w="9360"/>
      </w:tblGrid>
      <w:tr w:rsidR="3A8373E7" w14:paraId="251BA5C7" w14:textId="77777777" w:rsidTr="3A8373E7">
        <w:trPr>
          <w:trHeight w:val="300"/>
        </w:trPr>
        <w:tc>
          <w:tcPr>
            <w:tcW w:w="9360" w:type="dxa"/>
            <w:shd w:val="clear" w:color="auto" w:fill="FFF2CC" w:themeFill="accent4" w:themeFillTint="33"/>
          </w:tcPr>
          <w:p w14:paraId="342F51AB" w14:textId="6DEC90F9" w:rsidR="3A8373E7" w:rsidRDefault="3A8373E7" w:rsidP="3A8373E7">
            <w:pPr>
              <w:rPr>
                <w:rFonts w:ascii="Arial" w:eastAsia="Arial" w:hAnsi="Arial" w:cs="Arial"/>
                <w:color w:val="000000" w:themeColor="text1"/>
                <w:sz w:val="24"/>
                <w:szCs w:val="24"/>
              </w:rPr>
            </w:pPr>
          </w:p>
        </w:tc>
      </w:tr>
    </w:tbl>
    <w:p w14:paraId="122A4633" w14:textId="77777777" w:rsidR="009E493C" w:rsidRPr="001E628D" w:rsidRDefault="009E493C" w:rsidP="009E493C">
      <w:pPr>
        <w:pBdr>
          <w:top w:val="nil"/>
          <w:left w:val="nil"/>
          <w:bottom w:val="nil"/>
          <w:right w:val="nil"/>
          <w:between w:val="nil"/>
        </w:pBdr>
        <w:spacing w:after="0" w:line="240" w:lineRule="auto"/>
        <w:ind w:left="720"/>
      </w:pPr>
    </w:p>
    <w:p w14:paraId="7E5D8211" w14:textId="2880B99D" w:rsidR="00BD63CA" w:rsidRPr="001E628D" w:rsidRDefault="708D6E7D" w:rsidP="3A8373E7">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sidRPr="3A8373E7">
        <w:rPr>
          <w:rFonts w:ascii="Arial" w:eastAsia="Arial" w:hAnsi="Arial" w:cs="Arial"/>
          <w:color w:val="000000" w:themeColor="text1"/>
          <w:sz w:val="24"/>
          <w:szCs w:val="24"/>
        </w:rPr>
        <w:t>Respondent must outline a plan to include monitoring and oversight of training and development for building/corporation administrators.</w:t>
      </w:r>
      <w:r w:rsidR="006C672E">
        <w:rPr>
          <w:rFonts w:ascii="Arial" w:eastAsia="Arial" w:hAnsi="Arial" w:cs="Arial"/>
          <w:color w:val="000000" w:themeColor="text1"/>
          <w:sz w:val="24"/>
          <w:szCs w:val="24"/>
        </w:rPr>
        <w:br/>
      </w:r>
    </w:p>
    <w:tbl>
      <w:tblPr>
        <w:tblStyle w:val="TableGrid"/>
        <w:tblW w:w="0" w:type="auto"/>
        <w:tblLayout w:type="fixed"/>
        <w:tblLook w:val="06A0" w:firstRow="1" w:lastRow="0" w:firstColumn="1" w:lastColumn="0" w:noHBand="1" w:noVBand="1"/>
      </w:tblPr>
      <w:tblGrid>
        <w:gridCol w:w="9360"/>
      </w:tblGrid>
      <w:tr w:rsidR="3A8373E7" w14:paraId="132733F6" w14:textId="77777777" w:rsidTr="3A8373E7">
        <w:trPr>
          <w:trHeight w:val="300"/>
        </w:trPr>
        <w:tc>
          <w:tcPr>
            <w:tcW w:w="9360" w:type="dxa"/>
            <w:shd w:val="clear" w:color="auto" w:fill="FFF2CC" w:themeFill="accent4" w:themeFillTint="33"/>
          </w:tcPr>
          <w:p w14:paraId="1A70F625" w14:textId="5817C2A2" w:rsidR="3A8373E7" w:rsidRDefault="3A8373E7" w:rsidP="3A8373E7"/>
        </w:tc>
      </w:tr>
    </w:tbl>
    <w:p w14:paraId="65B5226D" w14:textId="5F5F140B" w:rsidR="00BD63CA" w:rsidRPr="001E628D" w:rsidRDefault="00BD63CA" w:rsidP="3A8373E7">
      <w:pPr>
        <w:pBdr>
          <w:top w:val="nil"/>
          <w:left w:val="nil"/>
          <w:bottom w:val="nil"/>
          <w:right w:val="nil"/>
          <w:between w:val="nil"/>
        </w:pBdr>
        <w:spacing w:after="0" w:line="240" w:lineRule="auto"/>
      </w:pPr>
    </w:p>
    <w:p w14:paraId="58922BA1" w14:textId="34BF432C" w:rsidR="00BD63CA" w:rsidRPr="001E628D" w:rsidRDefault="77E70127" w:rsidP="3A8373E7">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proofErr w:type="gramStart"/>
      <w:r w:rsidRPr="3A8373E7">
        <w:rPr>
          <w:rFonts w:ascii="Arial" w:eastAsia="Arial" w:hAnsi="Arial" w:cs="Arial"/>
          <w:color w:val="000000" w:themeColor="text1"/>
          <w:sz w:val="24"/>
          <w:szCs w:val="24"/>
        </w:rPr>
        <w:t>Respondent</w:t>
      </w:r>
      <w:proofErr w:type="gramEnd"/>
      <w:r w:rsidRPr="3A8373E7">
        <w:rPr>
          <w:rFonts w:ascii="Arial" w:eastAsia="Arial" w:hAnsi="Arial" w:cs="Arial"/>
          <w:color w:val="000000" w:themeColor="text1"/>
          <w:sz w:val="24"/>
          <w:szCs w:val="24"/>
        </w:rPr>
        <w:t xml:space="preserve"> must d</w:t>
      </w:r>
      <w:r w:rsidR="00F53BEB" w:rsidRPr="3A8373E7">
        <w:rPr>
          <w:rFonts w:ascii="Arial" w:eastAsia="Arial" w:hAnsi="Arial" w:cs="Arial"/>
          <w:color w:val="000000" w:themeColor="text1"/>
          <w:sz w:val="24"/>
          <w:szCs w:val="24"/>
        </w:rPr>
        <w:t xml:space="preserve">efine the accessibility features of the training </w:t>
      </w:r>
      <w:r w:rsidR="001C3090" w:rsidRPr="3A8373E7">
        <w:rPr>
          <w:rFonts w:ascii="Arial" w:eastAsia="Arial" w:hAnsi="Arial" w:cs="Arial"/>
          <w:color w:val="000000" w:themeColor="text1"/>
          <w:sz w:val="24"/>
          <w:szCs w:val="24"/>
        </w:rPr>
        <w:t>and explain how it meets</w:t>
      </w:r>
      <w:r w:rsidR="00F53BEB" w:rsidRPr="3A8373E7">
        <w:rPr>
          <w:rFonts w:ascii="Arial" w:eastAsia="Arial" w:hAnsi="Arial" w:cs="Arial"/>
          <w:color w:val="000000" w:themeColor="text1"/>
          <w:sz w:val="24"/>
          <w:szCs w:val="24"/>
        </w:rPr>
        <w:t xml:space="preserve"> the needs of diverse educators. </w:t>
      </w:r>
      <w:r w:rsidR="006C672E">
        <w:rPr>
          <w:rFonts w:ascii="Arial" w:eastAsia="Arial" w:hAnsi="Arial" w:cs="Arial"/>
          <w:color w:val="000000" w:themeColor="text1"/>
          <w:sz w:val="24"/>
          <w:szCs w:val="24"/>
        </w:rPr>
        <w:br/>
      </w:r>
    </w:p>
    <w:tbl>
      <w:tblPr>
        <w:tblStyle w:val="TableGrid"/>
        <w:tblW w:w="0" w:type="auto"/>
        <w:tblLayout w:type="fixed"/>
        <w:tblLook w:val="06A0" w:firstRow="1" w:lastRow="0" w:firstColumn="1" w:lastColumn="0" w:noHBand="1" w:noVBand="1"/>
      </w:tblPr>
      <w:tblGrid>
        <w:gridCol w:w="9360"/>
      </w:tblGrid>
      <w:tr w:rsidR="3A8373E7" w14:paraId="15961968" w14:textId="77777777" w:rsidTr="3A8373E7">
        <w:trPr>
          <w:trHeight w:val="300"/>
        </w:trPr>
        <w:tc>
          <w:tcPr>
            <w:tcW w:w="9360" w:type="dxa"/>
            <w:shd w:val="clear" w:color="auto" w:fill="FFF2CC" w:themeFill="accent4" w:themeFillTint="33"/>
          </w:tcPr>
          <w:p w14:paraId="3D5096B3" w14:textId="474344DF" w:rsidR="3A8373E7" w:rsidRDefault="3A8373E7" w:rsidP="3A8373E7">
            <w:pPr>
              <w:rPr>
                <w:rFonts w:ascii="Arial" w:eastAsia="Arial" w:hAnsi="Arial" w:cs="Arial"/>
                <w:color w:val="000000" w:themeColor="text1"/>
                <w:sz w:val="24"/>
                <w:szCs w:val="24"/>
              </w:rPr>
            </w:pPr>
          </w:p>
        </w:tc>
      </w:tr>
    </w:tbl>
    <w:p w14:paraId="7AA0B679" w14:textId="77777777" w:rsidR="00BD63CA" w:rsidRPr="001E628D" w:rsidRDefault="00BD63CA">
      <w:pPr>
        <w:spacing w:after="0" w:line="240" w:lineRule="auto"/>
        <w:rPr>
          <w:rFonts w:ascii="Arial" w:eastAsia="Arial" w:hAnsi="Arial" w:cs="Arial"/>
          <w:sz w:val="24"/>
          <w:szCs w:val="24"/>
        </w:rPr>
      </w:pPr>
    </w:p>
    <w:p w14:paraId="02852AE2" w14:textId="77777777" w:rsidR="00BD63CA" w:rsidRPr="001E628D" w:rsidRDefault="00F53BEB">
      <w:pPr>
        <w:spacing w:after="0" w:line="240" w:lineRule="auto"/>
        <w:rPr>
          <w:rFonts w:ascii="Arial" w:eastAsia="Arial" w:hAnsi="Arial" w:cs="Arial"/>
          <w:sz w:val="24"/>
          <w:szCs w:val="24"/>
          <w:u w:val="single"/>
        </w:rPr>
      </w:pPr>
      <w:r w:rsidRPr="001E628D">
        <w:rPr>
          <w:rFonts w:ascii="Arial" w:eastAsia="Arial" w:hAnsi="Arial" w:cs="Arial"/>
          <w:sz w:val="24"/>
          <w:szCs w:val="24"/>
          <w:u w:val="single"/>
        </w:rPr>
        <w:t>Educators </w:t>
      </w:r>
    </w:p>
    <w:p w14:paraId="49CADB5F" w14:textId="77777777" w:rsidR="00BD63CA" w:rsidRPr="001E628D" w:rsidRDefault="00BD63CA">
      <w:pPr>
        <w:spacing w:after="0" w:line="240" w:lineRule="auto"/>
        <w:rPr>
          <w:rFonts w:ascii="Arial" w:eastAsia="Quattrocento Sans" w:hAnsi="Arial" w:cs="Arial"/>
          <w:sz w:val="24"/>
          <w:szCs w:val="24"/>
        </w:rPr>
      </w:pPr>
    </w:p>
    <w:p w14:paraId="0F8F2C59" w14:textId="0753DDC4" w:rsidR="00BD63CA" w:rsidRPr="001E628D" w:rsidRDefault="2246326A" w:rsidP="3A8373E7">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sidRPr="14FBAF7E">
        <w:rPr>
          <w:rFonts w:ascii="Arial" w:eastAsia="Arial" w:hAnsi="Arial" w:cs="Arial"/>
          <w:color w:val="000000" w:themeColor="text1"/>
          <w:sz w:val="24"/>
          <w:szCs w:val="24"/>
        </w:rPr>
        <w:t>Respondent must d</w:t>
      </w:r>
      <w:r w:rsidR="00F53BEB" w:rsidRPr="14FBAF7E">
        <w:rPr>
          <w:rFonts w:ascii="Arial" w:eastAsia="Arial" w:hAnsi="Arial" w:cs="Arial"/>
          <w:color w:val="000000" w:themeColor="text1"/>
          <w:sz w:val="24"/>
          <w:szCs w:val="24"/>
        </w:rPr>
        <w:t xml:space="preserve">efine the number of educators within the state or defined regions that the respondent </w:t>
      </w:r>
      <w:r w:rsidR="611C25BE" w:rsidRPr="14FBAF7E">
        <w:rPr>
          <w:rFonts w:ascii="Arial" w:eastAsia="Arial" w:hAnsi="Arial" w:cs="Arial"/>
          <w:color w:val="000000" w:themeColor="text1"/>
          <w:sz w:val="24"/>
          <w:szCs w:val="24"/>
        </w:rPr>
        <w:t>can</w:t>
      </w:r>
      <w:r w:rsidR="00F53BEB" w:rsidRPr="14FBAF7E">
        <w:rPr>
          <w:rFonts w:ascii="Arial" w:eastAsia="Arial" w:hAnsi="Arial" w:cs="Arial"/>
          <w:color w:val="000000" w:themeColor="text1"/>
          <w:sz w:val="24"/>
          <w:szCs w:val="24"/>
        </w:rPr>
        <w:t xml:space="preserve"> provide training</w:t>
      </w:r>
      <w:r w:rsidR="002F560E" w:rsidRPr="14FBAF7E">
        <w:rPr>
          <w:rFonts w:ascii="Arial" w:eastAsia="Arial" w:hAnsi="Arial" w:cs="Arial"/>
          <w:color w:val="000000" w:themeColor="text1"/>
          <w:sz w:val="24"/>
          <w:szCs w:val="24"/>
        </w:rPr>
        <w:t xml:space="preserve"> for</w:t>
      </w:r>
      <w:r w:rsidR="00F53BEB" w:rsidRPr="14FBAF7E">
        <w:rPr>
          <w:rFonts w:ascii="Arial" w:eastAsia="Arial" w:hAnsi="Arial" w:cs="Arial"/>
          <w:color w:val="000000" w:themeColor="text1"/>
          <w:sz w:val="24"/>
          <w:szCs w:val="24"/>
        </w:rPr>
        <w:t xml:space="preserve"> within the timeframe noted in the scope of work.</w:t>
      </w:r>
      <w:r w:rsidR="66B07401" w:rsidRPr="14FBAF7E">
        <w:rPr>
          <w:rFonts w:ascii="Arial" w:eastAsia="Arial" w:hAnsi="Arial" w:cs="Arial"/>
          <w:color w:val="000000" w:themeColor="text1"/>
          <w:sz w:val="24"/>
          <w:szCs w:val="24"/>
        </w:rPr>
        <w:t xml:space="preserve"> Define the maximum capacity Respondent can successfully support.</w:t>
      </w:r>
      <w:r w:rsidR="00F53BEB" w:rsidRPr="14FBAF7E">
        <w:rPr>
          <w:rFonts w:ascii="Arial" w:eastAsia="Arial" w:hAnsi="Arial" w:cs="Arial"/>
          <w:color w:val="000000" w:themeColor="text1"/>
          <w:sz w:val="24"/>
          <w:szCs w:val="24"/>
        </w:rPr>
        <w:t xml:space="preserve"> </w:t>
      </w:r>
      <w:r w:rsidR="00F53BEB" w:rsidRPr="14FBAF7E">
        <w:rPr>
          <w:rFonts w:ascii="Arial" w:eastAsia="Arial" w:hAnsi="Arial" w:cs="Arial"/>
          <w:color w:val="000000" w:themeColor="text1"/>
          <w:sz w:val="24"/>
          <w:szCs w:val="24"/>
          <w:highlight w:val="white"/>
        </w:rPr>
        <w:t>Respondents are encouraged to create cohorts. Include details on this model in the Respondent’s plan</w:t>
      </w:r>
      <w:r w:rsidR="00F53BEB" w:rsidRPr="14FBAF7E">
        <w:rPr>
          <w:rFonts w:ascii="Arial" w:eastAsia="Arial" w:hAnsi="Arial" w:cs="Arial"/>
          <w:color w:val="000000" w:themeColor="text1"/>
          <w:sz w:val="24"/>
          <w:szCs w:val="24"/>
        </w:rPr>
        <w:t>. </w:t>
      </w:r>
      <w:r w:rsidR="006C672E">
        <w:rPr>
          <w:rFonts w:ascii="Arial" w:eastAsia="Arial" w:hAnsi="Arial" w:cs="Arial"/>
          <w:color w:val="000000" w:themeColor="text1"/>
          <w:sz w:val="24"/>
          <w:szCs w:val="24"/>
        </w:rPr>
        <w:br/>
      </w:r>
    </w:p>
    <w:tbl>
      <w:tblPr>
        <w:tblStyle w:val="TableGrid"/>
        <w:tblW w:w="0" w:type="auto"/>
        <w:tblLayout w:type="fixed"/>
        <w:tblLook w:val="06A0" w:firstRow="1" w:lastRow="0" w:firstColumn="1" w:lastColumn="0" w:noHBand="1" w:noVBand="1"/>
      </w:tblPr>
      <w:tblGrid>
        <w:gridCol w:w="9360"/>
      </w:tblGrid>
      <w:tr w:rsidR="3A8373E7" w14:paraId="7CC4CAFD" w14:textId="77777777" w:rsidTr="3A8373E7">
        <w:trPr>
          <w:trHeight w:val="300"/>
        </w:trPr>
        <w:tc>
          <w:tcPr>
            <w:tcW w:w="9360" w:type="dxa"/>
            <w:shd w:val="clear" w:color="auto" w:fill="FFF2CC" w:themeFill="accent4" w:themeFillTint="33"/>
          </w:tcPr>
          <w:p w14:paraId="7ADA81E2" w14:textId="5AC2DEBA" w:rsidR="3A8373E7" w:rsidRDefault="3A8373E7" w:rsidP="3A8373E7"/>
        </w:tc>
      </w:tr>
    </w:tbl>
    <w:p w14:paraId="064E98FE" w14:textId="12F690EB" w:rsidR="00BD63CA" w:rsidRPr="001E628D" w:rsidRDefault="00F53BEB" w:rsidP="3A8373E7">
      <w:pPr>
        <w:pBdr>
          <w:top w:val="nil"/>
          <w:left w:val="nil"/>
          <w:bottom w:val="nil"/>
          <w:right w:val="nil"/>
          <w:between w:val="nil"/>
        </w:pBdr>
        <w:spacing w:after="0" w:line="240" w:lineRule="auto"/>
        <w:rPr>
          <w:rFonts w:ascii="Arial" w:eastAsia="Arial" w:hAnsi="Arial" w:cs="Arial"/>
          <w:color w:val="000000"/>
          <w:sz w:val="24"/>
          <w:szCs w:val="24"/>
        </w:rPr>
      </w:pPr>
      <w:r>
        <w:br/>
      </w:r>
    </w:p>
    <w:p w14:paraId="10500BB6" w14:textId="77777777" w:rsidR="00BD63CA" w:rsidRPr="001E628D" w:rsidRDefault="00F53BEB">
      <w:pPr>
        <w:spacing w:after="0" w:line="240" w:lineRule="auto"/>
        <w:rPr>
          <w:rFonts w:ascii="Arial" w:eastAsia="Arial" w:hAnsi="Arial" w:cs="Arial"/>
          <w:sz w:val="24"/>
          <w:szCs w:val="24"/>
          <w:u w:val="single"/>
        </w:rPr>
      </w:pPr>
      <w:r w:rsidRPr="001E628D">
        <w:rPr>
          <w:rFonts w:ascii="Arial" w:eastAsia="Arial" w:hAnsi="Arial" w:cs="Arial"/>
          <w:sz w:val="24"/>
          <w:szCs w:val="24"/>
          <w:u w:val="single"/>
        </w:rPr>
        <w:t>Data and Analysis</w:t>
      </w:r>
      <w:r w:rsidRPr="001E628D">
        <w:rPr>
          <w:rFonts w:ascii="Arial" w:hAnsi="Arial" w:cs="Arial"/>
          <w:sz w:val="24"/>
          <w:szCs w:val="24"/>
        </w:rPr>
        <w:br/>
      </w:r>
    </w:p>
    <w:p w14:paraId="1CBB3F66" w14:textId="4FE52AE2" w:rsidR="00BD63CA" w:rsidRPr="007430C1" w:rsidRDefault="793730B5" w:rsidP="3A8373E7">
      <w:pPr>
        <w:numPr>
          <w:ilvl w:val="0"/>
          <w:numId w:val="2"/>
        </w:numPr>
        <w:pBdr>
          <w:top w:val="nil"/>
          <w:left w:val="nil"/>
          <w:bottom w:val="nil"/>
          <w:right w:val="nil"/>
          <w:between w:val="nil"/>
        </w:pBdr>
        <w:spacing w:after="0" w:line="240" w:lineRule="auto"/>
        <w:rPr>
          <w:rFonts w:ascii="Arial" w:eastAsia="Arial" w:hAnsi="Arial" w:cs="Arial"/>
          <w:color w:val="000000"/>
          <w:sz w:val="24"/>
          <w:szCs w:val="24"/>
        </w:rPr>
      </w:pPr>
      <w:r w:rsidRPr="3A8373E7">
        <w:rPr>
          <w:rFonts w:ascii="Arial" w:eastAsia="Arial" w:hAnsi="Arial" w:cs="Arial"/>
          <w:color w:val="000000" w:themeColor="text1"/>
          <w:sz w:val="24"/>
          <w:szCs w:val="24"/>
        </w:rPr>
        <w:t>Respondent must d</w:t>
      </w:r>
      <w:r w:rsidR="00F53BEB" w:rsidRPr="3A8373E7">
        <w:rPr>
          <w:rFonts w:ascii="Arial" w:eastAsia="Arial" w:hAnsi="Arial" w:cs="Arial"/>
          <w:color w:val="000000" w:themeColor="text1"/>
          <w:sz w:val="24"/>
          <w:szCs w:val="24"/>
        </w:rPr>
        <w:t xml:space="preserve">escribe the analysis conducted to ensure alignment of the training to the definition of the science of reading. As the science of reading is based upon the most current research, Respondent </w:t>
      </w:r>
      <w:r w:rsidR="230BFD29" w:rsidRPr="3A8373E7">
        <w:rPr>
          <w:rFonts w:ascii="Arial" w:eastAsia="Arial" w:hAnsi="Arial" w:cs="Arial"/>
          <w:color w:val="000000" w:themeColor="text1"/>
          <w:sz w:val="24"/>
          <w:szCs w:val="24"/>
        </w:rPr>
        <w:t xml:space="preserve">must </w:t>
      </w:r>
      <w:r w:rsidR="00F53BEB" w:rsidRPr="3A8373E7">
        <w:rPr>
          <w:rFonts w:ascii="Arial" w:eastAsia="Arial" w:hAnsi="Arial" w:cs="Arial"/>
          <w:color w:val="000000" w:themeColor="text1"/>
          <w:sz w:val="24"/>
          <w:szCs w:val="24"/>
        </w:rPr>
        <w:t>detail how they keep abreast of new information and how training will be revised accordingly. Respondent must be accredited by the International Dyslexia Association.</w:t>
      </w:r>
    </w:p>
    <w:p w14:paraId="3AB03C9E" w14:textId="77777777" w:rsidR="007430C1" w:rsidRPr="001E628D" w:rsidRDefault="007430C1" w:rsidP="007430C1">
      <w:pPr>
        <w:pBdr>
          <w:top w:val="nil"/>
          <w:left w:val="nil"/>
          <w:bottom w:val="nil"/>
          <w:right w:val="nil"/>
          <w:between w:val="nil"/>
        </w:pBdr>
        <w:spacing w:after="0" w:line="240" w:lineRule="auto"/>
        <w:ind w:left="720"/>
        <w:rPr>
          <w:rFonts w:ascii="Arial" w:eastAsia="Arial" w:hAnsi="Arial" w:cs="Arial"/>
          <w:color w:val="000000"/>
          <w:sz w:val="24"/>
          <w:szCs w:val="24"/>
        </w:rPr>
      </w:pPr>
    </w:p>
    <w:tbl>
      <w:tblPr>
        <w:tblStyle w:val="TableGrid"/>
        <w:tblW w:w="0" w:type="auto"/>
        <w:tblLayout w:type="fixed"/>
        <w:tblLook w:val="06A0" w:firstRow="1" w:lastRow="0" w:firstColumn="1" w:lastColumn="0" w:noHBand="1" w:noVBand="1"/>
      </w:tblPr>
      <w:tblGrid>
        <w:gridCol w:w="9360"/>
      </w:tblGrid>
      <w:tr w:rsidR="3A8373E7" w14:paraId="1660DBBE" w14:textId="77777777" w:rsidTr="3A8373E7">
        <w:trPr>
          <w:trHeight w:val="300"/>
        </w:trPr>
        <w:tc>
          <w:tcPr>
            <w:tcW w:w="9360" w:type="dxa"/>
            <w:shd w:val="clear" w:color="auto" w:fill="FFF2CC" w:themeFill="accent4" w:themeFillTint="33"/>
          </w:tcPr>
          <w:p w14:paraId="1DA03B3B" w14:textId="40B25597" w:rsidR="3A8373E7" w:rsidRDefault="3A8373E7" w:rsidP="3A8373E7"/>
        </w:tc>
      </w:tr>
    </w:tbl>
    <w:p w14:paraId="6229E18A" w14:textId="2EE3E03D" w:rsidR="00BD63CA" w:rsidRPr="001E628D" w:rsidRDefault="00F53BEB" w:rsidP="3A8373E7">
      <w:pPr>
        <w:pBdr>
          <w:top w:val="nil"/>
          <w:left w:val="nil"/>
          <w:bottom w:val="nil"/>
          <w:right w:val="nil"/>
          <w:between w:val="nil"/>
        </w:pBdr>
        <w:spacing w:after="0" w:line="240" w:lineRule="auto"/>
        <w:rPr>
          <w:rFonts w:ascii="Arial" w:eastAsia="Arial" w:hAnsi="Arial" w:cs="Arial"/>
          <w:color w:val="000000"/>
          <w:sz w:val="24"/>
          <w:szCs w:val="24"/>
        </w:rPr>
      </w:pPr>
      <w:r w:rsidRPr="3A8373E7">
        <w:rPr>
          <w:rFonts w:ascii="Arial" w:eastAsia="Arial" w:hAnsi="Arial" w:cs="Arial"/>
          <w:color w:val="000000" w:themeColor="text1"/>
          <w:sz w:val="24"/>
          <w:szCs w:val="24"/>
        </w:rPr>
        <w:t>  </w:t>
      </w:r>
    </w:p>
    <w:p w14:paraId="4DDEB0D3" w14:textId="53585C07" w:rsidR="00BD63CA" w:rsidRPr="001E628D" w:rsidRDefault="00F53BEB" w:rsidP="37B7B161">
      <w:pPr>
        <w:spacing w:after="0" w:line="240" w:lineRule="auto"/>
        <w:rPr>
          <w:rFonts w:ascii="Arial" w:eastAsia="Arial" w:hAnsi="Arial" w:cs="Arial"/>
          <w:color w:val="000000"/>
          <w:sz w:val="24"/>
          <w:szCs w:val="24"/>
        </w:rPr>
      </w:pPr>
      <w:r w:rsidRPr="001E628D">
        <w:rPr>
          <w:rFonts w:ascii="Arial" w:eastAsia="Arial" w:hAnsi="Arial" w:cs="Arial"/>
          <w:sz w:val="24"/>
          <w:szCs w:val="24"/>
          <w:u w:val="single"/>
        </w:rPr>
        <w:t>Cost Proposal</w:t>
      </w:r>
      <w:r>
        <w:br/>
      </w:r>
    </w:p>
    <w:p w14:paraId="18C4AD23" w14:textId="4850565F" w:rsidR="00BD63CA" w:rsidRPr="001E628D" w:rsidRDefault="002D7746" w:rsidP="14FBAF7E">
      <w:pPr>
        <w:pStyle w:val="ListParagraph"/>
        <w:numPr>
          <w:ilvl w:val="0"/>
          <w:numId w:val="2"/>
        </w:numPr>
        <w:spacing w:after="0" w:line="240" w:lineRule="auto"/>
        <w:rPr>
          <w:rFonts w:ascii="Arial" w:eastAsia="Arial" w:hAnsi="Arial" w:cs="Arial"/>
          <w:color w:val="000000" w:themeColor="text1"/>
          <w:sz w:val="24"/>
          <w:szCs w:val="24"/>
        </w:rPr>
      </w:pPr>
      <w:r w:rsidRPr="3A8373E7">
        <w:rPr>
          <w:rFonts w:ascii="Arial" w:eastAsia="Arial" w:hAnsi="Arial" w:cs="Arial"/>
          <w:color w:val="000000" w:themeColor="text1"/>
          <w:sz w:val="24"/>
          <w:szCs w:val="24"/>
        </w:rPr>
        <w:t xml:space="preserve"> The </w:t>
      </w:r>
      <w:r w:rsidR="61110BD3" w:rsidRPr="3A8373E7">
        <w:rPr>
          <w:rFonts w:ascii="Arial" w:eastAsia="Arial" w:hAnsi="Arial" w:cs="Arial"/>
          <w:color w:val="000000" w:themeColor="text1"/>
          <w:sz w:val="24"/>
          <w:szCs w:val="24"/>
        </w:rPr>
        <w:t xml:space="preserve">IDOE is interested in a cost proposal </w:t>
      </w:r>
      <w:r w:rsidR="00BB19E7" w:rsidRPr="3A8373E7">
        <w:rPr>
          <w:rFonts w:ascii="Arial" w:eastAsia="Arial" w:hAnsi="Arial" w:cs="Arial"/>
          <w:color w:val="000000" w:themeColor="text1"/>
          <w:sz w:val="24"/>
          <w:szCs w:val="24"/>
        </w:rPr>
        <w:t>with a</w:t>
      </w:r>
      <w:r w:rsidR="61110BD3" w:rsidRPr="3A8373E7">
        <w:rPr>
          <w:rFonts w:ascii="Arial" w:eastAsia="Arial" w:hAnsi="Arial" w:cs="Arial"/>
          <w:color w:val="000000" w:themeColor="text1"/>
          <w:sz w:val="24"/>
          <w:szCs w:val="24"/>
        </w:rPr>
        <w:t xml:space="preserve"> </w:t>
      </w:r>
      <w:r w:rsidR="00473090" w:rsidRPr="3A8373E7">
        <w:rPr>
          <w:rFonts w:ascii="Arial" w:eastAsia="Arial" w:hAnsi="Arial" w:cs="Arial"/>
          <w:color w:val="000000" w:themeColor="text1"/>
          <w:sz w:val="24"/>
          <w:szCs w:val="24"/>
        </w:rPr>
        <w:t>not-to-</w:t>
      </w:r>
      <w:r w:rsidR="61110BD3" w:rsidRPr="3A8373E7">
        <w:rPr>
          <w:rFonts w:ascii="Arial" w:eastAsia="Arial" w:hAnsi="Arial" w:cs="Arial"/>
          <w:color w:val="000000" w:themeColor="text1"/>
          <w:sz w:val="24"/>
          <w:szCs w:val="24"/>
        </w:rPr>
        <w:t>exceed cost</w:t>
      </w:r>
      <w:r w:rsidR="00FA2F1C" w:rsidRPr="3A8373E7">
        <w:rPr>
          <w:rFonts w:ascii="Arial" w:eastAsia="Arial" w:hAnsi="Arial" w:cs="Arial"/>
          <w:color w:val="000000" w:themeColor="text1"/>
          <w:sz w:val="24"/>
          <w:szCs w:val="24"/>
        </w:rPr>
        <w:t xml:space="preserve"> of $</w:t>
      </w:r>
      <w:r w:rsidR="005614CF">
        <w:rPr>
          <w:rFonts w:ascii="Arial" w:eastAsia="Arial" w:hAnsi="Arial" w:cs="Arial"/>
          <w:color w:val="000000" w:themeColor="text1"/>
          <w:sz w:val="24"/>
          <w:szCs w:val="24"/>
        </w:rPr>
        <w:t>1000</w:t>
      </w:r>
      <w:r w:rsidR="61110BD3" w:rsidRPr="3A8373E7">
        <w:rPr>
          <w:rFonts w:ascii="Arial" w:eastAsia="Arial" w:hAnsi="Arial" w:cs="Arial"/>
          <w:color w:val="000000" w:themeColor="text1"/>
          <w:sz w:val="24"/>
          <w:szCs w:val="24"/>
        </w:rPr>
        <w:t xml:space="preserve"> per educator including ancillary training supplies, stipends, meeting facilities, video/audio equipment, or learning management systems for training the participants. </w:t>
      </w:r>
      <w:r>
        <w:br/>
      </w:r>
    </w:p>
    <w:p w14:paraId="06FA2B7F" w14:textId="570F91C2" w:rsidR="00BD63CA" w:rsidRDefault="243B66BC" w:rsidP="006C672E">
      <w:pPr>
        <w:spacing w:after="0" w:line="240" w:lineRule="auto"/>
        <w:ind w:left="720"/>
        <w:rPr>
          <w:rFonts w:ascii="Arial" w:eastAsia="Arial" w:hAnsi="Arial" w:cs="Arial"/>
          <w:sz w:val="24"/>
          <w:szCs w:val="24"/>
        </w:rPr>
      </w:pPr>
      <w:r w:rsidRPr="2E90F4A4">
        <w:rPr>
          <w:rFonts w:ascii="Arial" w:eastAsia="Arial" w:hAnsi="Arial" w:cs="Arial"/>
          <w:sz w:val="24"/>
          <w:szCs w:val="24"/>
        </w:rPr>
        <w:t>Educators have one year from date of enrollment to complete the training and exam.</w:t>
      </w:r>
      <w:r w:rsidR="00796BE9" w:rsidRPr="2E90F4A4">
        <w:rPr>
          <w:rFonts w:ascii="Arial" w:eastAsia="Arial" w:hAnsi="Arial" w:cs="Arial"/>
          <w:sz w:val="24"/>
          <w:szCs w:val="24"/>
        </w:rPr>
        <w:t xml:space="preserve"> The training may be completed in any order, and the live training and asynchronous training may</w:t>
      </w:r>
      <w:r w:rsidR="00A57FC5">
        <w:rPr>
          <w:rFonts w:ascii="Arial" w:eastAsia="Arial" w:hAnsi="Arial" w:cs="Arial"/>
          <w:sz w:val="24"/>
          <w:szCs w:val="24"/>
        </w:rPr>
        <w:t xml:space="preserve"> </w:t>
      </w:r>
      <w:r w:rsidR="00796BE9" w:rsidRPr="2E90F4A4">
        <w:rPr>
          <w:rFonts w:ascii="Arial" w:eastAsia="Arial" w:hAnsi="Arial" w:cs="Arial"/>
          <w:sz w:val="24"/>
          <w:szCs w:val="24"/>
        </w:rPr>
        <w:t>run in parallel.</w:t>
      </w:r>
    </w:p>
    <w:p w14:paraId="034494EB" w14:textId="02A90EF7" w:rsidR="00BD63CA" w:rsidRPr="00932EAB" w:rsidRDefault="00473090" w:rsidP="006C672E">
      <w:pPr>
        <w:spacing w:after="0" w:line="240" w:lineRule="auto"/>
        <w:ind w:left="720"/>
        <w:rPr>
          <w:rFonts w:ascii="Arial" w:eastAsia="Arial" w:hAnsi="Arial" w:cs="Arial"/>
          <w:color w:val="000000" w:themeColor="text1"/>
          <w:sz w:val="24"/>
          <w:szCs w:val="24"/>
        </w:rPr>
      </w:pPr>
      <w:r>
        <w:br/>
      </w:r>
      <w:r w:rsidRPr="3A8373E7">
        <w:rPr>
          <w:rFonts w:ascii="Arial" w:eastAsia="Arial" w:hAnsi="Arial" w:cs="Arial"/>
          <w:color w:val="000000" w:themeColor="text1"/>
          <w:sz w:val="24"/>
          <w:szCs w:val="24"/>
        </w:rPr>
        <w:t>A c</w:t>
      </w:r>
      <w:r w:rsidR="61110BD3" w:rsidRPr="3A8373E7">
        <w:rPr>
          <w:rFonts w:ascii="Arial" w:eastAsia="Arial" w:hAnsi="Arial" w:cs="Arial"/>
          <w:color w:val="000000" w:themeColor="text1"/>
          <w:sz w:val="24"/>
          <w:szCs w:val="24"/>
        </w:rPr>
        <w:t xml:space="preserve">ost proposal for the maximum capacity of the Respondent using these associated values as a </w:t>
      </w:r>
      <w:r w:rsidRPr="3A8373E7">
        <w:rPr>
          <w:rFonts w:ascii="Arial" w:eastAsia="Arial" w:hAnsi="Arial" w:cs="Arial"/>
          <w:color w:val="000000" w:themeColor="text1"/>
          <w:sz w:val="24"/>
          <w:szCs w:val="24"/>
        </w:rPr>
        <w:t>not-to-</w:t>
      </w:r>
      <w:r w:rsidR="61110BD3" w:rsidRPr="3A8373E7">
        <w:rPr>
          <w:rFonts w:ascii="Arial" w:eastAsia="Arial" w:hAnsi="Arial" w:cs="Arial"/>
          <w:color w:val="000000" w:themeColor="text1"/>
          <w:sz w:val="24"/>
          <w:szCs w:val="24"/>
        </w:rPr>
        <w:t>exceed must be submitted.</w:t>
      </w:r>
      <w:r w:rsidR="006C672E">
        <w:rPr>
          <w:rFonts w:ascii="Arial" w:eastAsia="Arial" w:hAnsi="Arial" w:cs="Arial"/>
          <w:color w:val="000000" w:themeColor="text1"/>
          <w:sz w:val="24"/>
          <w:szCs w:val="24"/>
        </w:rPr>
        <w:br/>
      </w:r>
    </w:p>
    <w:tbl>
      <w:tblPr>
        <w:tblStyle w:val="TableGrid"/>
        <w:tblW w:w="0" w:type="auto"/>
        <w:tblInd w:w="360" w:type="dxa"/>
        <w:tblLayout w:type="fixed"/>
        <w:tblLook w:val="06A0" w:firstRow="1" w:lastRow="0" w:firstColumn="1" w:lastColumn="0" w:noHBand="1" w:noVBand="1"/>
      </w:tblPr>
      <w:tblGrid>
        <w:gridCol w:w="9000"/>
      </w:tblGrid>
      <w:tr w:rsidR="3A8373E7" w14:paraId="516A73D3" w14:textId="77777777" w:rsidTr="3A8373E7">
        <w:trPr>
          <w:trHeight w:val="300"/>
        </w:trPr>
        <w:tc>
          <w:tcPr>
            <w:tcW w:w="9000" w:type="dxa"/>
            <w:shd w:val="clear" w:color="auto" w:fill="FFF2CC" w:themeFill="accent4" w:themeFillTint="33"/>
          </w:tcPr>
          <w:p w14:paraId="282E17FB" w14:textId="79DE9801" w:rsidR="3A8373E7" w:rsidRDefault="3A8373E7" w:rsidP="3A8373E7">
            <w:pPr>
              <w:rPr>
                <w:rFonts w:ascii="Arial" w:eastAsia="Arial" w:hAnsi="Arial" w:cs="Arial"/>
                <w:color w:val="000000" w:themeColor="text1"/>
                <w:sz w:val="24"/>
                <w:szCs w:val="24"/>
              </w:rPr>
            </w:pPr>
          </w:p>
        </w:tc>
      </w:tr>
    </w:tbl>
    <w:p w14:paraId="3C96883F" w14:textId="5CA06566" w:rsidR="65F405D6" w:rsidRDefault="65F405D6" w:rsidP="65F405D6">
      <w:pPr>
        <w:spacing w:after="0" w:line="240" w:lineRule="auto"/>
        <w:ind w:left="360"/>
        <w:rPr>
          <w:rFonts w:ascii="Arial" w:eastAsia="Arial" w:hAnsi="Arial" w:cs="Arial"/>
          <w:color w:val="000000" w:themeColor="text1"/>
          <w:sz w:val="24"/>
          <w:szCs w:val="24"/>
        </w:rPr>
      </w:pPr>
    </w:p>
    <w:p w14:paraId="1FCA7B73" w14:textId="7AD60AAA" w:rsidR="2B3BEECF" w:rsidRDefault="2B3BEECF" w:rsidP="006C672E">
      <w:pPr>
        <w:spacing w:after="0" w:line="240" w:lineRule="auto"/>
        <w:rPr>
          <w:rFonts w:ascii="Arial" w:eastAsia="Arial" w:hAnsi="Arial" w:cs="Arial"/>
          <w:color w:val="000000" w:themeColor="text1"/>
          <w:sz w:val="24"/>
          <w:szCs w:val="24"/>
          <w:u w:val="single"/>
        </w:rPr>
      </w:pPr>
      <w:r w:rsidRPr="006C672E">
        <w:rPr>
          <w:rFonts w:ascii="Arial" w:eastAsia="Arial" w:hAnsi="Arial" w:cs="Arial"/>
          <w:color w:val="000000" w:themeColor="text1"/>
          <w:sz w:val="24"/>
          <w:szCs w:val="24"/>
          <w:u w:val="single"/>
        </w:rPr>
        <w:t>Sample Contract</w:t>
      </w:r>
    </w:p>
    <w:p w14:paraId="2102ABB7" w14:textId="4268B16D" w:rsidR="65F405D6" w:rsidRDefault="65F405D6" w:rsidP="65F405D6">
      <w:pPr>
        <w:spacing w:after="0" w:line="240" w:lineRule="auto"/>
        <w:rPr>
          <w:rFonts w:ascii="Arial" w:eastAsia="Arial" w:hAnsi="Arial" w:cs="Arial"/>
          <w:color w:val="000000" w:themeColor="text1"/>
          <w:sz w:val="24"/>
          <w:szCs w:val="24"/>
          <w:u w:val="single"/>
        </w:rPr>
      </w:pPr>
    </w:p>
    <w:p w14:paraId="32187A61" w14:textId="24BF69AC" w:rsidR="2B3BEECF" w:rsidRDefault="2B3BEECF" w:rsidP="006C672E">
      <w:pPr>
        <w:pStyle w:val="ListParagraph"/>
        <w:numPr>
          <w:ilvl w:val="0"/>
          <w:numId w:val="2"/>
        </w:numPr>
        <w:spacing w:after="0" w:line="240" w:lineRule="auto"/>
        <w:rPr>
          <w:rFonts w:ascii="Arial" w:eastAsia="Arial" w:hAnsi="Arial" w:cs="Arial"/>
          <w:color w:val="000000" w:themeColor="text1"/>
          <w:sz w:val="24"/>
          <w:szCs w:val="24"/>
        </w:rPr>
      </w:pPr>
      <w:r w:rsidRPr="3A8373E7">
        <w:rPr>
          <w:rFonts w:ascii="Arial" w:eastAsia="Arial" w:hAnsi="Arial" w:cs="Arial"/>
          <w:color w:val="000000" w:themeColor="text1"/>
          <w:sz w:val="24"/>
          <w:szCs w:val="24"/>
        </w:rPr>
        <w:t xml:space="preserve">Please review the </w:t>
      </w:r>
      <w:proofErr w:type="gramStart"/>
      <w:r w:rsidRPr="3A8373E7">
        <w:rPr>
          <w:rFonts w:ascii="Arial" w:eastAsia="Arial" w:hAnsi="Arial" w:cs="Arial"/>
          <w:color w:val="000000" w:themeColor="text1"/>
          <w:sz w:val="24"/>
          <w:szCs w:val="24"/>
        </w:rPr>
        <w:t xml:space="preserve">provided Attachment </w:t>
      </w:r>
      <w:r w:rsidR="007430C1">
        <w:rPr>
          <w:rFonts w:ascii="Arial" w:eastAsia="Arial" w:hAnsi="Arial" w:cs="Arial"/>
          <w:color w:val="000000" w:themeColor="text1"/>
          <w:sz w:val="24"/>
          <w:szCs w:val="24"/>
        </w:rPr>
        <w:t>B</w:t>
      </w:r>
      <w:r w:rsidRPr="3A8373E7">
        <w:rPr>
          <w:rFonts w:ascii="Arial" w:eastAsia="Arial" w:hAnsi="Arial" w:cs="Arial"/>
          <w:color w:val="000000" w:themeColor="text1"/>
          <w:sz w:val="24"/>
          <w:szCs w:val="24"/>
        </w:rPr>
        <w:t xml:space="preserve"> - Sample Contract</w:t>
      </w:r>
      <w:proofErr w:type="gramEnd"/>
      <w:r w:rsidRPr="3A8373E7">
        <w:rPr>
          <w:rFonts w:ascii="Arial" w:eastAsia="Arial" w:hAnsi="Arial" w:cs="Arial"/>
          <w:color w:val="000000" w:themeColor="text1"/>
          <w:sz w:val="24"/>
          <w:szCs w:val="24"/>
        </w:rPr>
        <w:t xml:space="preserve">. This contract contains mandatory clauses. Mandatory clauses are listed below and are non-negotiable. It is the State’s expectation that the final contract will be substantially </w:t>
      </w:r>
      <w:proofErr w:type="gramStart"/>
      <w:r w:rsidRPr="3A8373E7">
        <w:rPr>
          <w:rFonts w:ascii="Arial" w:eastAsia="Arial" w:hAnsi="Arial" w:cs="Arial"/>
          <w:color w:val="000000" w:themeColor="text1"/>
          <w:sz w:val="24"/>
          <w:szCs w:val="24"/>
        </w:rPr>
        <w:t>similar to</w:t>
      </w:r>
      <w:proofErr w:type="gramEnd"/>
      <w:r w:rsidRPr="3A8373E7">
        <w:rPr>
          <w:rFonts w:ascii="Arial" w:eastAsia="Arial" w:hAnsi="Arial" w:cs="Arial"/>
          <w:color w:val="000000" w:themeColor="text1"/>
          <w:sz w:val="24"/>
          <w:szCs w:val="24"/>
        </w:rPr>
        <w:t xml:space="preserve"> the sample contract provided. Please confirm your acceptance of mandatory terms. If a non-mandatory clause is not acceptable as worded, suggest specific alternative wording (via tracked changes to the clause as written in the sample contract) to address issues raised by the specific clause and, if you require additional contract terms, please include them in this section. </w:t>
      </w:r>
    </w:p>
    <w:p w14:paraId="791C7340" w14:textId="55FE9C69" w:rsidR="65F405D6" w:rsidRDefault="65F405D6" w:rsidP="65F405D6">
      <w:pPr>
        <w:spacing w:after="0" w:line="240" w:lineRule="auto"/>
        <w:ind w:firstLine="720"/>
        <w:rPr>
          <w:rFonts w:ascii="Arial" w:eastAsia="Arial" w:hAnsi="Arial" w:cs="Arial"/>
          <w:color w:val="000000" w:themeColor="text1"/>
          <w:sz w:val="24"/>
          <w:szCs w:val="24"/>
        </w:rPr>
      </w:pPr>
    </w:p>
    <w:p w14:paraId="22AFF895" w14:textId="05009E54" w:rsidR="2B3BEECF" w:rsidRDefault="2B3BEECF" w:rsidP="006C672E">
      <w:pPr>
        <w:spacing w:after="0" w:line="240" w:lineRule="auto"/>
        <w:ind w:firstLine="720"/>
        <w:rPr>
          <w:rFonts w:ascii="Arial" w:eastAsia="Arial" w:hAnsi="Arial" w:cs="Arial"/>
          <w:color w:val="000000" w:themeColor="text1"/>
          <w:sz w:val="24"/>
          <w:szCs w:val="24"/>
        </w:rPr>
      </w:pPr>
      <w:r w:rsidRPr="65F405D6">
        <w:rPr>
          <w:rFonts w:ascii="Arial" w:eastAsia="Arial" w:hAnsi="Arial" w:cs="Arial"/>
          <w:color w:val="000000" w:themeColor="text1"/>
          <w:sz w:val="24"/>
          <w:szCs w:val="24"/>
        </w:rPr>
        <w:t>The mandatory contract terms are as follows:</w:t>
      </w:r>
    </w:p>
    <w:p w14:paraId="3DA66CC4" w14:textId="3867F9F6"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Authority to Bind Contractor</w:t>
      </w:r>
    </w:p>
    <w:p w14:paraId="31946E11" w14:textId="570B137B"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Compliance with Laws</w:t>
      </w:r>
    </w:p>
    <w:p w14:paraId="75F1ABAB" w14:textId="35A8CE58"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Drug-Free Workplace Certification</w:t>
      </w:r>
    </w:p>
    <w:p w14:paraId="5E33A897" w14:textId="0BEC18A1"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Employment Eligibility Verification (E-Verify)</w:t>
      </w:r>
    </w:p>
    <w:p w14:paraId="318E9DF4" w14:textId="0BF8759C"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lastRenderedPageBreak/>
        <w:t>Funding Cancellation</w:t>
      </w:r>
    </w:p>
    <w:p w14:paraId="6D989E98" w14:textId="495B49A3"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Governing Law</w:t>
      </w:r>
    </w:p>
    <w:p w14:paraId="4BE48BCD" w14:textId="619B21CC"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Indemnification</w:t>
      </w:r>
    </w:p>
    <w:p w14:paraId="62B404BA" w14:textId="456A50A9"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Information Technology Enterprise Architecture Requirements</w:t>
      </w:r>
    </w:p>
    <w:p w14:paraId="52DDB02A" w14:textId="41358E5D"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Nondiscrimination Clause</w:t>
      </w:r>
    </w:p>
    <w:p w14:paraId="077756A6" w14:textId="3005DFE1"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Penalties/Interest/Attorney’s Fees</w:t>
      </w:r>
    </w:p>
    <w:p w14:paraId="1835EBD2" w14:textId="285E6DDA"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Termination for Convenience</w:t>
      </w:r>
    </w:p>
    <w:p w14:paraId="21F18044" w14:textId="4D24D641" w:rsidR="2B3BEECF" w:rsidRPr="006C672E" w:rsidRDefault="2B3BEECF" w:rsidP="006C672E">
      <w:pPr>
        <w:pStyle w:val="ListParagraph"/>
        <w:numPr>
          <w:ilvl w:val="0"/>
          <w:numId w:val="1"/>
        </w:numPr>
        <w:rPr>
          <w:rFonts w:ascii="Arial" w:eastAsia="Arial" w:hAnsi="Arial" w:cs="Arial"/>
          <w:sz w:val="24"/>
          <w:szCs w:val="24"/>
        </w:rPr>
      </w:pPr>
      <w:r w:rsidRPr="006C672E">
        <w:rPr>
          <w:rFonts w:ascii="Arial" w:eastAsia="Arial" w:hAnsi="Arial" w:cs="Arial"/>
          <w:sz w:val="24"/>
          <w:szCs w:val="24"/>
        </w:rPr>
        <w:t>Non-Collusion and Acceptance</w:t>
      </w:r>
    </w:p>
    <w:p w14:paraId="0A06C79C" w14:textId="7A9EE93C" w:rsidR="2B3BEECF" w:rsidRPr="006C672E" w:rsidRDefault="2B3BEECF" w:rsidP="006C672E">
      <w:pPr>
        <w:pStyle w:val="ListParagraph"/>
        <w:numPr>
          <w:ilvl w:val="0"/>
          <w:numId w:val="1"/>
        </w:numPr>
        <w:rPr>
          <w:sz w:val="24"/>
          <w:szCs w:val="24"/>
        </w:rPr>
      </w:pPr>
      <w:r w:rsidRPr="006C672E">
        <w:rPr>
          <w:rFonts w:ascii="Arial" w:eastAsia="Arial" w:hAnsi="Arial" w:cs="Arial"/>
          <w:sz w:val="24"/>
          <w:szCs w:val="24"/>
        </w:rPr>
        <w:t>Payments</w:t>
      </w:r>
    </w:p>
    <w:tbl>
      <w:tblPr>
        <w:tblStyle w:val="TableGrid"/>
        <w:tblW w:w="0" w:type="auto"/>
        <w:tblInd w:w="360" w:type="dxa"/>
        <w:tblLayout w:type="fixed"/>
        <w:tblLook w:val="06A0" w:firstRow="1" w:lastRow="0" w:firstColumn="1" w:lastColumn="0" w:noHBand="1" w:noVBand="1"/>
      </w:tblPr>
      <w:tblGrid>
        <w:gridCol w:w="9000"/>
      </w:tblGrid>
      <w:tr w:rsidR="3A8373E7" w14:paraId="537596FA" w14:textId="77777777" w:rsidTr="3A8373E7">
        <w:trPr>
          <w:trHeight w:val="300"/>
        </w:trPr>
        <w:tc>
          <w:tcPr>
            <w:tcW w:w="9000" w:type="dxa"/>
            <w:shd w:val="clear" w:color="auto" w:fill="FFF2CC" w:themeFill="accent4" w:themeFillTint="33"/>
          </w:tcPr>
          <w:p w14:paraId="53AD5987" w14:textId="2DE2E05B" w:rsidR="3A8373E7" w:rsidRDefault="3A8373E7" w:rsidP="3A8373E7"/>
        </w:tc>
      </w:tr>
    </w:tbl>
    <w:p w14:paraId="733DD4A5" w14:textId="77777777" w:rsidR="00BD63CA" w:rsidRPr="001E628D" w:rsidRDefault="00F53BEB">
      <w:pPr>
        <w:spacing w:after="0" w:line="240" w:lineRule="auto"/>
        <w:rPr>
          <w:rFonts w:ascii="Arial" w:eastAsia="Quattrocento Sans" w:hAnsi="Arial" w:cs="Arial"/>
          <w:sz w:val="24"/>
          <w:szCs w:val="24"/>
        </w:rPr>
      </w:pPr>
      <w:r w:rsidRPr="001E628D">
        <w:rPr>
          <w:rFonts w:ascii="Arial" w:eastAsia="Arial" w:hAnsi="Arial" w:cs="Arial"/>
          <w:sz w:val="24"/>
          <w:szCs w:val="24"/>
        </w:rPr>
        <w:t> </w:t>
      </w:r>
    </w:p>
    <w:p w14:paraId="2613B527" w14:textId="77777777" w:rsidR="00BD63CA" w:rsidRPr="001E628D" w:rsidRDefault="00F53BEB">
      <w:pPr>
        <w:spacing w:after="0" w:line="240" w:lineRule="auto"/>
        <w:rPr>
          <w:rFonts w:ascii="Arial" w:eastAsia="Quattrocento Sans" w:hAnsi="Arial" w:cs="Arial"/>
          <w:sz w:val="24"/>
          <w:szCs w:val="24"/>
        </w:rPr>
      </w:pPr>
      <w:r w:rsidRPr="001E628D">
        <w:rPr>
          <w:rFonts w:ascii="Arial" w:eastAsia="Arial" w:hAnsi="Arial" w:cs="Arial"/>
          <w:sz w:val="24"/>
          <w:szCs w:val="24"/>
        </w:rPr>
        <w:t> </w:t>
      </w:r>
    </w:p>
    <w:p w14:paraId="5D1972B5" w14:textId="77777777" w:rsidR="00BD63CA" w:rsidRPr="001E628D" w:rsidRDefault="00BD63CA">
      <w:pPr>
        <w:rPr>
          <w:rFonts w:ascii="Arial" w:hAnsi="Arial" w:cs="Arial"/>
          <w:sz w:val="24"/>
          <w:szCs w:val="24"/>
        </w:rPr>
      </w:pPr>
    </w:p>
    <w:p w14:paraId="345265EB" w14:textId="77777777" w:rsidR="00BD63CA" w:rsidRPr="001E628D" w:rsidRDefault="00BD63CA">
      <w:pPr>
        <w:rPr>
          <w:rFonts w:ascii="Arial" w:hAnsi="Arial" w:cs="Arial"/>
          <w:sz w:val="24"/>
          <w:szCs w:val="24"/>
        </w:rPr>
      </w:pPr>
    </w:p>
    <w:p w14:paraId="581CABE1" w14:textId="77777777" w:rsidR="00BD63CA" w:rsidRPr="001E628D" w:rsidRDefault="00BD63CA">
      <w:pPr>
        <w:rPr>
          <w:rFonts w:ascii="Arial" w:hAnsi="Arial" w:cs="Arial"/>
          <w:sz w:val="24"/>
          <w:szCs w:val="24"/>
        </w:rPr>
      </w:pPr>
    </w:p>
    <w:sectPr w:rsidR="00BD63CA" w:rsidRPr="001E628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43AF8"/>
    <w:multiLevelType w:val="hybridMultilevel"/>
    <w:tmpl w:val="042A1EC2"/>
    <w:lvl w:ilvl="0" w:tplc="29FE3FCA">
      <w:start w:val="1"/>
      <w:numFmt w:val="decimal"/>
      <w:lvlText w:val="%1."/>
      <w:lvlJc w:val="left"/>
      <w:pPr>
        <w:ind w:left="720" w:hanging="360"/>
      </w:pPr>
    </w:lvl>
    <w:lvl w:ilvl="1" w:tplc="83C6E25E">
      <w:start w:val="1"/>
      <w:numFmt w:val="lowerLetter"/>
      <w:lvlText w:val="%2."/>
      <w:lvlJc w:val="left"/>
      <w:pPr>
        <w:ind w:left="1440" w:hanging="360"/>
      </w:pPr>
    </w:lvl>
    <w:lvl w:ilvl="2" w:tplc="F1AE36B2">
      <w:start w:val="1"/>
      <w:numFmt w:val="lowerRoman"/>
      <w:lvlText w:val="%3."/>
      <w:lvlJc w:val="right"/>
      <w:pPr>
        <w:ind w:left="2160" w:hanging="180"/>
      </w:pPr>
    </w:lvl>
    <w:lvl w:ilvl="3" w:tplc="D5A6CBBE">
      <w:start w:val="1"/>
      <w:numFmt w:val="decimal"/>
      <w:lvlText w:val="%4."/>
      <w:lvlJc w:val="left"/>
      <w:pPr>
        <w:ind w:left="2880" w:hanging="360"/>
      </w:pPr>
    </w:lvl>
    <w:lvl w:ilvl="4" w:tplc="D00CFF18">
      <w:start w:val="1"/>
      <w:numFmt w:val="lowerLetter"/>
      <w:lvlText w:val="%5."/>
      <w:lvlJc w:val="left"/>
      <w:pPr>
        <w:ind w:left="3600" w:hanging="360"/>
      </w:pPr>
    </w:lvl>
    <w:lvl w:ilvl="5" w:tplc="E83E440E">
      <w:start w:val="1"/>
      <w:numFmt w:val="lowerRoman"/>
      <w:lvlText w:val="%6."/>
      <w:lvlJc w:val="right"/>
      <w:pPr>
        <w:ind w:left="4320" w:hanging="180"/>
      </w:pPr>
    </w:lvl>
    <w:lvl w:ilvl="6" w:tplc="4C06163A">
      <w:start w:val="1"/>
      <w:numFmt w:val="decimal"/>
      <w:lvlText w:val="%7."/>
      <w:lvlJc w:val="left"/>
      <w:pPr>
        <w:ind w:left="5040" w:hanging="360"/>
      </w:pPr>
    </w:lvl>
    <w:lvl w:ilvl="7" w:tplc="222C5020">
      <w:start w:val="1"/>
      <w:numFmt w:val="lowerLetter"/>
      <w:lvlText w:val="%8."/>
      <w:lvlJc w:val="left"/>
      <w:pPr>
        <w:ind w:left="5760" w:hanging="360"/>
      </w:pPr>
    </w:lvl>
    <w:lvl w:ilvl="8" w:tplc="42E00700">
      <w:start w:val="1"/>
      <w:numFmt w:val="lowerRoman"/>
      <w:lvlText w:val="%9."/>
      <w:lvlJc w:val="right"/>
      <w:pPr>
        <w:ind w:left="6480" w:hanging="180"/>
      </w:pPr>
    </w:lvl>
  </w:abstractNum>
  <w:abstractNum w:abstractNumId="1" w15:restartNumberingAfterBreak="0">
    <w:nsid w:val="7F76CC50"/>
    <w:multiLevelType w:val="hybridMultilevel"/>
    <w:tmpl w:val="5C4C2B6E"/>
    <w:lvl w:ilvl="0" w:tplc="722EEF3E">
      <w:start w:val="1"/>
      <w:numFmt w:val="bullet"/>
      <w:lvlText w:val=""/>
      <w:lvlJc w:val="left"/>
      <w:pPr>
        <w:ind w:left="1440" w:hanging="360"/>
      </w:pPr>
      <w:rPr>
        <w:rFonts w:ascii="Symbol" w:hAnsi="Symbol" w:hint="default"/>
      </w:rPr>
    </w:lvl>
    <w:lvl w:ilvl="1" w:tplc="C4BCF328">
      <w:start w:val="1"/>
      <w:numFmt w:val="bullet"/>
      <w:lvlText w:val="o"/>
      <w:lvlJc w:val="left"/>
      <w:pPr>
        <w:ind w:left="2160" w:hanging="360"/>
      </w:pPr>
      <w:rPr>
        <w:rFonts w:ascii="Courier New" w:hAnsi="Courier New" w:hint="default"/>
      </w:rPr>
    </w:lvl>
    <w:lvl w:ilvl="2" w:tplc="CD6E7A1A">
      <w:start w:val="1"/>
      <w:numFmt w:val="bullet"/>
      <w:lvlText w:val=""/>
      <w:lvlJc w:val="left"/>
      <w:pPr>
        <w:ind w:left="2880" w:hanging="360"/>
      </w:pPr>
      <w:rPr>
        <w:rFonts w:ascii="Wingdings" w:hAnsi="Wingdings" w:hint="default"/>
      </w:rPr>
    </w:lvl>
    <w:lvl w:ilvl="3" w:tplc="D076C126">
      <w:start w:val="1"/>
      <w:numFmt w:val="bullet"/>
      <w:lvlText w:val=""/>
      <w:lvlJc w:val="left"/>
      <w:pPr>
        <w:ind w:left="3600" w:hanging="360"/>
      </w:pPr>
      <w:rPr>
        <w:rFonts w:ascii="Symbol" w:hAnsi="Symbol" w:hint="default"/>
      </w:rPr>
    </w:lvl>
    <w:lvl w:ilvl="4" w:tplc="60C4A490">
      <w:start w:val="1"/>
      <w:numFmt w:val="bullet"/>
      <w:lvlText w:val="o"/>
      <w:lvlJc w:val="left"/>
      <w:pPr>
        <w:ind w:left="4320" w:hanging="360"/>
      </w:pPr>
      <w:rPr>
        <w:rFonts w:ascii="Courier New" w:hAnsi="Courier New" w:hint="default"/>
      </w:rPr>
    </w:lvl>
    <w:lvl w:ilvl="5" w:tplc="B84E0E9C">
      <w:start w:val="1"/>
      <w:numFmt w:val="bullet"/>
      <w:lvlText w:val=""/>
      <w:lvlJc w:val="left"/>
      <w:pPr>
        <w:ind w:left="5040" w:hanging="360"/>
      </w:pPr>
      <w:rPr>
        <w:rFonts w:ascii="Wingdings" w:hAnsi="Wingdings" w:hint="default"/>
      </w:rPr>
    </w:lvl>
    <w:lvl w:ilvl="6" w:tplc="B6EAAF94">
      <w:start w:val="1"/>
      <w:numFmt w:val="bullet"/>
      <w:lvlText w:val=""/>
      <w:lvlJc w:val="left"/>
      <w:pPr>
        <w:ind w:left="5760" w:hanging="360"/>
      </w:pPr>
      <w:rPr>
        <w:rFonts w:ascii="Symbol" w:hAnsi="Symbol" w:hint="default"/>
      </w:rPr>
    </w:lvl>
    <w:lvl w:ilvl="7" w:tplc="4154C98A">
      <w:start w:val="1"/>
      <w:numFmt w:val="bullet"/>
      <w:lvlText w:val="o"/>
      <w:lvlJc w:val="left"/>
      <w:pPr>
        <w:ind w:left="6480" w:hanging="360"/>
      </w:pPr>
      <w:rPr>
        <w:rFonts w:ascii="Courier New" w:hAnsi="Courier New" w:hint="default"/>
      </w:rPr>
    </w:lvl>
    <w:lvl w:ilvl="8" w:tplc="3F0C3E98">
      <w:start w:val="1"/>
      <w:numFmt w:val="bullet"/>
      <w:lvlText w:val=""/>
      <w:lvlJc w:val="left"/>
      <w:pPr>
        <w:ind w:left="7200" w:hanging="360"/>
      </w:pPr>
      <w:rPr>
        <w:rFonts w:ascii="Wingdings" w:hAnsi="Wingdings" w:hint="default"/>
      </w:rPr>
    </w:lvl>
  </w:abstractNum>
  <w:num w:numId="1" w16cid:durableId="734666075">
    <w:abstractNumId w:val="1"/>
  </w:num>
  <w:num w:numId="2" w16cid:durableId="1180701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3CA"/>
    <w:rsid w:val="00015D20"/>
    <w:rsid w:val="00041F39"/>
    <w:rsid w:val="000F6303"/>
    <w:rsid w:val="00143A58"/>
    <w:rsid w:val="001964C2"/>
    <w:rsid w:val="001C3090"/>
    <w:rsid w:val="001D6A22"/>
    <w:rsid w:val="001E628D"/>
    <w:rsid w:val="001F4E25"/>
    <w:rsid w:val="00242BA1"/>
    <w:rsid w:val="00277DD5"/>
    <w:rsid w:val="002D7746"/>
    <w:rsid w:val="002F560E"/>
    <w:rsid w:val="00310E5B"/>
    <w:rsid w:val="00330807"/>
    <w:rsid w:val="003B0D05"/>
    <w:rsid w:val="0040350F"/>
    <w:rsid w:val="00435718"/>
    <w:rsid w:val="00464786"/>
    <w:rsid w:val="00473090"/>
    <w:rsid w:val="004F1CF8"/>
    <w:rsid w:val="00507F93"/>
    <w:rsid w:val="00527695"/>
    <w:rsid w:val="005614CF"/>
    <w:rsid w:val="00594209"/>
    <w:rsid w:val="005B2EEB"/>
    <w:rsid w:val="006065CA"/>
    <w:rsid w:val="00623BD1"/>
    <w:rsid w:val="0065620C"/>
    <w:rsid w:val="006C672E"/>
    <w:rsid w:val="007430C1"/>
    <w:rsid w:val="0074751C"/>
    <w:rsid w:val="00796BE9"/>
    <w:rsid w:val="007F41B4"/>
    <w:rsid w:val="007F63C9"/>
    <w:rsid w:val="00846E72"/>
    <w:rsid w:val="008702DA"/>
    <w:rsid w:val="00885AE3"/>
    <w:rsid w:val="0089014C"/>
    <w:rsid w:val="008C32EC"/>
    <w:rsid w:val="00932EAB"/>
    <w:rsid w:val="009E493C"/>
    <w:rsid w:val="00A019D9"/>
    <w:rsid w:val="00A57FC5"/>
    <w:rsid w:val="00B11865"/>
    <w:rsid w:val="00BB19E7"/>
    <w:rsid w:val="00BD63CA"/>
    <w:rsid w:val="00BE258B"/>
    <w:rsid w:val="00C226EB"/>
    <w:rsid w:val="00C276D5"/>
    <w:rsid w:val="00CA66DE"/>
    <w:rsid w:val="00D94C1A"/>
    <w:rsid w:val="00DB710C"/>
    <w:rsid w:val="00DE4C95"/>
    <w:rsid w:val="00DF7622"/>
    <w:rsid w:val="00DF7F3F"/>
    <w:rsid w:val="00E06910"/>
    <w:rsid w:val="00E17AFB"/>
    <w:rsid w:val="00E26CF1"/>
    <w:rsid w:val="00E2FD02"/>
    <w:rsid w:val="00EA1377"/>
    <w:rsid w:val="00F53BEB"/>
    <w:rsid w:val="00FA2F1C"/>
    <w:rsid w:val="01D37027"/>
    <w:rsid w:val="02EAC38C"/>
    <w:rsid w:val="042A484A"/>
    <w:rsid w:val="071695E2"/>
    <w:rsid w:val="0752EB14"/>
    <w:rsid w:val="090D75AF"/>
    <w:rsid w:val="0938D9EC"/>
    <w:rsid w:val="0C0BE75A"/>
    <w:rsid w:val="0C9983C8"/>
    <w:rsid w:val="0CEE8114"/>
    <w:rsid w:val="0E406280"/>
    <w:rsid w:val="0E8C6DFA"/>
    <w:rsid w:val="0F9190BA"/>
    <w:rsid w:val="135FDF1D"/>
    <w:rsid w:val="14FBAF7E"/>
    <w:rsid w:val="17971703"/>
    <w:rsid w:val="1B1E66CE"/>
    <w:rsid w:val="1C2C3D82"/>
    <w:rsid w:val="1C8EE1C2"/>
    <w:rsid w:val="1D4B8721"/>
    <w:rsid w:val="1D4C0135"/>
    <w:rsid w:val="1EFEDCCD"/>
    <w:rsid w:val="1F400A7E"/>
    <w:rsid w:val="1FC79A5C"/>
    <w:rsid w:val="21240403"/>
    <w:rsid w:val="216E29A3"/>
    <w:rsid w:val="219F7B27"/>
    <w:rsid w:val="21D38FCD"/>
    <w:rsid w:val="2246326A"/>
    <w:rsid w:val="230BFD29"/>
    <w:rsid w:val="243B66BC"/>
    <w:rsid w:val="24FFC89C"/>
    <w:rsid w:val="25A9FE9E"/>
    <w:rsid w:val="26AEF492"/>
    <w:rsid w:val="274D597B"/>
    <w:rsid w:val="27592EBD"/>
    <w:rsid w:val="2815D3CF"/>
    <w:rsid w:val="29240EA0"/>
    <w:rsid w:val="2B0F611C"/>
    <w:rsid w:val="2B333CE4"/>
    <w:rsid w:val="2B3BEECF"/>
    <w:rsid w:val="2BEBE384"/>
    <w:rsid w:val="2D8D78D8"/>
    <w:rsid w:val="2E90F4A4"/>
    <w:rsid w:val="2EB5A4AA"/>
    <w:rsid w:val="2EBA005B"/>
    <w:rsid w:val="2F3E4713"/>
    <w:rsid w:val="30E81DC3"/>
    <w:rsid w:val="31CE47C6"/>
    <w:rsid w:val="32497BAA"/>
    <w:rsid w:val="341A3713"/>
    <w:rsid w:val="3694BC59"/>
    <w:rsid w:val="371BDDF4"/>
    <w:rsid w:val="37B7B161"/>
    <w:rsid w:val="3A8373E7"/>
    <w:rsid w:val="3A99E508"/>
    <w:rsid w:val="3CC724B0"/>
    <w:rsid w:val="3DC027D2"/>
    <w:rsid w:val="3DCFCAA8"/>
    <w:rsid w:val="428BC62B"/>
    <w:rsid w:val="43F19187"/>
    <w:rsid w:val="448D894F"/>
    <w:rsid w:val="45567D4D"/>
    <w:rsid w:val="45BE0C02"/>
    <w:rsid w:val="464CBA6D"/>
    <w:rsid w:val="46C8D25F"/>
    <w:rsid w:val="471699F3"/>
    <w:rsid w:val="47BFE00F"/>
    <w:rsid w:val="48E43964"/>
    <w:rsid w:val="4BBCEE83"/>
    <w:rsid w:val="4C4D2A10"/>
    <w:rsid w:val="501D4482"/>
    <w:rsid w:val="530F240C"/>
    <w:rsid w:val="539437E1"/>
    <w:rsid w:val="54C8112D"/>
    <w:rsid w:val="5777A14D"/>
    <w:rsid w:val="57D64550"/>
    <w:rsid w:val="587871F4"/>
    <w:rsid w:val="58AD31B9"/>
    <w:rsid w:val="5981569C"/>
    <w:rsid w:val="59ADB636"/>
    <w:rsid w:val="5A020AB6"/>
    <w:rsid w:val="5B0B88CE"/>
    <w:rsid w:val="5BF7A995"/>
    <w:rsid w:val="5C3287EF"/>
    <w:rsid w:val="5C64F0A7"/>
    <w:rsid w:val="5C84599E"/>
    <w:rsid w:val="5D310463"/>
    <w:rsid w:val="5D562533"/>
    <w:rsid w:val="5EB7BCCB"/>
    <w:rsid w:val="61110BD3"/>
    <w:rsid w:val="611C25BE"/>
    <w:rsid w:val="6161A1F5"/>
    <w:rsid w:val="6178ADA4"/>
    <w:rsid w:val="62193801"/>
    <w:rsid w:val="62FE50D9"/>
    <w:rsid w:val="6341E702"/>
    <w:rsid w:val="6487D80C"/>
    <w:rsid w:val="64EFE763"/>
    <w:rsid w:val="653B2C77"/>
    <w:rsid w:val="65A39DB5"/>
    <w:rsid w:val="65F405D6"/>
    <w:rsid w:val="66357ABC"/>
    <w:rsid w:val="66A2A584"/>
    <w:rsid w:val="66B07401"/>
    <w:rsid w:val="6840263B"/>
    <w:rsid w:val="692982CF"/>
    <w:rsid w:val="69A97464"/>
    <w:rsid w:val="69DBF69C"/>
    <w:rsid w:val="6BA04CD5"/>
    <w:rsid w:val="6DA82F09"/>
    <w:rsid w:val="6E43F2B7"/>
    <w:rsid w:val="6F5CB45D"/>
    <w:rsid w:val="7031BAB3"/>
    <w:rsid w:val="708D6E7D"/>
    <w:rsid w:val="7174FD10"/>
    <w:rsid w:val="71B0E344"/>
    <w:rsid w:val="71D4BD35"/>
    <w:rsid w:val="731A131F"/>
    <w:rsid w:val="74D501FA"/>
    <w:rsid w:val="753C25FA"/>
    <w:rsid w:val="764F049C"/>
    <w:rsid w:val="77B1A033"/>
    <w:rsid w:val="77E70127"/>
    <w:rsid w:val="77EEF4C9"/>
    <w:rsid w:val="7877CE0A"/>
    <w:rsid w:val="793730B5"/>
    <w:rsid w:val="796184FF"/>
    <w:rsid w:val="798AC52A"/>
    <w:rsid w:val="798FF8F8"/>
    <w:rsid w:val="7ADB6451"/>
    <w:rsid w:val="7BDFA535"/>
    <w:rsid w:val="7C776D1B"/>
    <w:rsid w:val="7D350C4A"/>
    <w:rsid w:val="7E0455BE"/>
    <w:rsid w:val="7FEC08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7E2D2"/>
  <w15:docId w15:val="{F8AEB121-471B-4B76-B563-CFA4D3F24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paragraph">
    <w:name w:val="paragraph"/>
    <w:basedOn w:val="Normal"/>
    <w:rsid w:val="00945D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945DBC"/>
  </w:style>
  <w:style w:type="character" w:customStyle="1" w:styleId="normaltextrun">
    <w:name w:val="normaltextrun"/>
    <w:basedOn w:val="DefaultParagraphFont"/>
    <w:rsid w:val="00945DBC"/>
  </w:style>
  <w:style w:type="character" w:customStyle="1" w:styleId="contextualspellingandgrammarerror">
    <w:name w:val="contextualspellingandgrammarerror"/>
    <w:basedOn w:val="DefaultParagraphFont"/>
    <w:rsid w:val="00945DBC"/>
  </w:style>
  <w:style w:type="character" w:customStyle="1" w:styleId="scxw70545063">
    <w:name w:val="scxw70545063"/>
    <w:basedOn w:val="DefaultParagraphFont"/>
    <w:rsid w:val="00945DBC"/>
  </w:style>
  <w:style w:type="paragraph" w:styleId="ListParagraph">
    <w:name w:val="List Paragraph"/>
    <w:basedOn w:val="Normal"/>
    <w:uiPriority w:val="34"/>
    <w:qFormat/>
    <w:rsid w:val="00F128E4"/>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1C3090"/>
    <w:pPr>
      <w:spacing w:after="0" w:line="240" w:lineRule="auto"/>
    </w:pPr>
  </w:style>
  <w:style w:type="character" w:styleId="Hyperlink">
    <w:name w:val="Hyperlink"/>
    <w:basedOn w:val="DefaultParagraphFont"/>
    <w:uiPriority w:val="99"/>
    <w:unhideWhenUsed/>
    <w:rsid w:val="00277DD5"/>
    <w:rPr>
      <w:color w:val="0563C1" w:themeColor="hyperlink"/>
      <w:u w:val="single"/>
    </w:rPr>
  </w:style>
  <w:style w:type="character" w:styleId="UnresolvedMention">
    <w:name w:val="Unresolved Mention"/>
    <w:basedOn w:val="DefaultParagraphFont"/>
    <w:uiPriority w:val="99"/>
    <w:semiHidden/>
    <w:unhideWhenUsed/>
    <w:rsid w:val="00277DD5"/>
    <w:rPr>
      <w:color w:val="605E5C"/>
      <w:shd w:val="clear" w:color="auto" w:fill="E1DFDD"/>
    </w:rPr>
  </w:style>
  <w:style w:type="character" w:styleId="FollowedHyperlink">
    <w:name w:val="FollowedHyperlink"/>
    <w:basedOn w:val="DefaultParagraphFont"/>
    <w:uiPriority w:val="99"/>
    <w:semiHidden/>
    <w:unhideWhenUsed/>
    <w:rsid w:val="00796BE9"/>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7F41B4"/>
    <w:rPr>
      <w:b/>
      <w:bCs/>
    </w:rPr>
  </w:style>
  <w:style w:type="character" w:customStyle="1" w:styleId="CommentSubjectChar">
    <w:name w:val="Comment Subject Char"/>
    <w:basedOn w:val="CommentTextChar"/>
    <w:link w:val="CommentSubject"/>
    <w:uiPriority w:val="99"/>
    <w:semiHidden/>
    <w:rsid w:val="007F41B4"/>
    <w:rPr>
      <w:b/>
      <w:bCs/>
      <w:sz w:val="20"/>
      <w:szCs w:val="20"/>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934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https://iga.in.gov/laws/2024/ic/titles/20" TargetMode="Externa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0DVpkdhuSEel8QtHND+8Rq/Jng==">CgMxLjA4AHIhMWJhZ1FnNVBBcDhkdXc3SXhDbGZUc25raXF0S1NZeU1K</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7C0332B1FE217A4791EAD9A18AD5A803" ma:contentTypeVersion="3" ma:contentTypeDescription="Create a new document." ma:contentTypeScope="" ma:versionID="cd3a9d05fb6000e6764d518ef0df2584">
  <xsd:schema xmlns:xsd="http://www.w3.org/2001/XMLSchema" xmlns:xs="http://www.w3.org/2001/XMLSchema" xmlns:p="http://schemas.microsoft.com/office/2006/metadata/properties" xmlns:ns2="a2f1a958-c3ee-4fb0-8d50-ff7c81c006ba" targetNamespace="http://schemas.microsoft.com/office/2006/metadata/properties" ma:root="true" ma:fieldsID="d4dfd3e03d95cb0885dbc332facc3e69" ns2:_="">
    <xsd:import namespace="a2f1a958-c3ee-4fb0-8d50-ff7c81c006b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f1a958-c3ee-4fb0-8d50-ff7c81c006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6CDE343-AFD3-4E0D-B6EE-ED0CE0A784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f1a958-c3ee-4fb0-8d50-ff7c81c006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CC5D85-92D3-46ED-B68D-0DBB9BF89691}">
  <ds:schemaRefs>
    <ds:schemaRef ds:uri="http://schemas.microsoft.com/sharepoint/v3/contenttype/forms"/>
  </ds:schemaRefs>
</ds:datastoreItem>
</file>

<file path=customXml/itemProps4.xml><?xml version="1.0" encoding="utf-8"?>
<ds:datastoreItem xmlns:ds="http://schemas.openxmlformats.org/officeDocument/2006/customXml" ds:itemID="{732E08C7-B93E-4938-943B-4A4590F0DB2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Indiana Office of Technology</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Hazelwood</dc:creator>
  <cp:keywords/>
  <cp:lastModifiedBy>March, Kevin</cp:lastModifiedBy>
  <cp:revision>4</cp:revision>
  <dcterms:created xsi:type="dcterms:W3CDTF">2025-08-26T17:38:00Z</dcterms:created>
  <dcterms:modified xsi:type="dcterms:W3CDTF">2025-09-29T12:11:00Z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0x0101007C0332B1FE217A4791EAD9A18AD5A803</vt:lpwstr>
  </property>
</Properties>
</file>